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062" w:rsidRPr="00350437" w:rsidRDefault="00BB16D4" w:rsidP="00C62326">
      <w:pPr>
        <w:autoSpaceDE w:val="0"/>
        <w:autoSpaceDN w:val="0"/>
        <w:adjustRightInd w:val="0"/>
        <w:spacing w:afterLines="50" w:after="156"/>
        <w:jc w:val="center"/>
        <w:rPr>
          <w:rFonts w:ascii="Arial" w:eastAsiaTheme="minorEastAsia" w:hAnsi="Arial" w:cs="Arial"/>
          <w:color w:val="000000"/>
          <w:kern w:val="0"/>
          <w:sz w:val="28"/>
          <w:szCs w:val="28"/>
        </w:rPr>
      </w:pPr>
      <w:r w:rsidRPr="00350437">
        <w:rPr>
          <w:rFonts w:ascii="Arial" w:eastAsiaTheme="minorEastAsia" w:hAnsi="Arial" w:cs="Arial"/>
          <w:color w:val="000000"/>
          <w:kern w:val="0"/>
          <w:sz w:val="28"/>
          <w:szCs w:val="28"/>
        </w:rPr>
        <w:t>证券代码：</w:t>
      </w:r>
      <w:r w:rsidRPr="00350437">
        <w:rPr>
          <w:rFonts w:ascii="Arial" w:eastAsiaTheme="minorEastAsia" w:hAnsi="Arial" w:cs="Arial"/>
          <w:color w:val="000000"/>
          <w:kern w:val="0"/>
          <w:sz w:val="28"/>
          <w:szCs w:val="28"/>
        </w:rPr>
        <w:t xml:space="preserve">300402     </w:t>
      </w:r>
      <w:r w:rsidR="000A6A7D" w:rsidRPr="00350437">
        <w:rPr>
          <w:rFonts w:ascii="Arial" w:eastAsiaTheme="minorEastAsia" w:hAnsi="Arial" w:cs="Arial" w:hint="eastAsia"/>
          <w:color w:val="000000"/>
          <w:kern w:val="0"/>
          <w:sz w:val="28"/>
          <w:szCs w:val="28"/>
        </w:rPr>
        <w:t xml:space="preserve">  </w:t>
      </w:r>
      <w:r w:rsidRPr="00350437">
        <w:rPr>
          <w:rFonts w:ascii="Arial" w:eastAsiaTheme="minorEastAsia" w:hAnsi="Arial" w:cs="Arial"/>
          <w:color w:val="000000"/>
          <w:kern w:val="0"/>
          <w:sz w:val="28"/>
          <w:szCs w:val="28"/>
        </w:rPr>
        <w:t>证券简称：宝色股份</w:t>
      </w:r>
      <w:r w:rsidR="000A6A7D" w:rsidRPr="00350437">
        <w:rPr>
          <w:rFonts w:ascii="Arial" w:eastAsiaTheme="minorEastAsia" w:hAnsi="Arial" w:cs="Arial" w:hint="eastAsia"/>
          <w:color w:val="000000"/>
          <w:kern w:val="0"/>
          <w:sz w:val="28"/>
          <w:szCs w:val="28"/>
        </w:rPr>
        <w:t xml:space="preserve">     </w:t>
      </w:r>
      <w:r w:rsidRPr="00350437">
        <w:rPr>
          <w:rFonts w:ascii="Arial" w:eastAsiaTheme="minorEastAsia" w:hAnsi="Arial" w:cs="Arial"/>
          <w:color w:val="000000"/>
          <w:kern w:val="0"/>
          <w:sz w:val="28"/>
          <w:szCs w:val="28"/>
        </w:rPr>
        <w:t>公告编号：</w:t>
      </w:r>
      <w:r w:rsidRPr="00350437">
        <w:rPr>
          <w:rFonts w:ascii="Arial" w:eastAsiaTheme="minorEastAsia" w:hAnsi="Arial" w:cs="Arial"/>
          <w:color w:val="000000"/>
          <w:kern w:val="0"/>
          <w:sz w:val="28"/>
          <w:szCs w:val="28"/>
        </w:rPr>
        <w:t>2025-</w:t>
      </w:r>
      <w:r w:rsidR="00E07D32" w:rsidRPr="00350437">
        <w:rPr>
          <w:rFonts w:ascii="Arial" w:eastAsiaTheme="minorEastAsia" w:hAnsi="Arial" w:cs="Arial"/>
          <w:color w:val="000000"/>
          <w:kern w:val="0"/>
          <w:sz w:val="28"/>
          <w:szCs w:val="28"/>
        </w:rPr>
        <w:t>0</w:t>
      </w:r>
      <w:r w:rsidR="000A6A7D" w:rsidRPr="00350437">
        <w:rPr>
          <w:rFonts w:ascii="Arial" w:eastAsiaTheme="minorEastAsia" w:hAnsi="Arial" w:cs="Arial" w:hint="eastAsia"/>
          <w:color w:val="000000"/>
          <w:kern w:val="0"/>
          <w:sz w:val="28"/>
          <w:szCs w:val="28"/>
        </w:rPr>
        <w:t>39</w:t>
      </w:r>
    </w:p>
    <w:p w:rsidR="00B43062" w:rsidRPr="00350437" w:rsidRDefault="00BB16D4">
      <w:pPr>
        <w:autoSpaceDE w:val="0"/>
        <w:autoSpaceDN w:val="0"/>
        <w:adjustRightInd w:val="0"/>
        <w:spacing w:line="520" w:lineRule="exact"/>
        <w:jc w:val="center"/>
        <w:rPr>
          <w:rFonts w:ascii="Arial" w:eastAsiaTheme="minorEastAsia" w:hAnsi="Arial" w:cs="Arial"/>
          <w:b/>
          <w:bCs/>
          <w:color w:val="000000"/>
          <w:sz w:val="30"/>
          <w:szCs w:val="30"/>
        </w:rPr>
      </w:pPr>
      <w:r w:rsidRPr="00350437">
        <w:rPr>
          <w:rFonts w:ascii="Arial" w:eastAsiaTheme="minorEastAsia" w:hAnsi="Arial" w:cs="Arial"/>
          <w:b/>
          <w:bCs/>
          <w:color w:val="000000"/>
          <w:sz w:val="30"/>
          <w:szCs w:val="30"/>
        </w:rPr>
        <w:t>南京宝色股份公司</w:t>
      </w:r>
    </w:p>
    <w:p w:rsidR="00B43062" w:rsidRPr="00350437" w:rsidRDefault="00BB16D4" w:rsidP="00C62326">
      <w:pPr>
        <w:autoSpaceDE w:val="0"/>
        <w:autoSpaceDN w:val="0"/>
        <w:adjustRightInd w:val="0"/>
        <w:spacing w:afterLines="75" w:after="234" w:line="520" w:lineRule="exact"/>
        <w:jc w:val="center"/>
        <w:rPr>
          <w:rFonts w:ascii="Arial" w:eastAsiaTheme="minorEastAsia" w:hAnsi="Arial" w:cs="Arial"/>
          <w:b/>
          <w:bCs/>
          <w:color w:val="000000"/>
          <w:sz w:val="30"/>
          <w:szCs w:val="30"/>
        </w:rPr>
      </w:pPr>
      <w:r w:rsidRPr="00350437">
        <w:rPr>
          <w:rFonts w:ascii="Arial" w:eastAsiaTheme="minorEastAsia" w:hAnsi="Arial" w:cs="Arial"/>
          <w:b/>
          <w:bCs/>
          <w:color w:val="000000"/>
          <w:sz w:val="30"/>
          <w:szCs w:val="30"/>
        </w:rPr>
        <w:t>关于</w:t>
      </w:r>
      <w:r w:rsidR="002E7714" w:rsidRPr="00350437">
        <w:rPr>
          <w:rFonts w:ascii="Arial" w:eastAsiaTheme="minorEastAsia" w:hAnsi="Arial" w:cs="Arial"/>
          <w:b/>
          <w:bCs/>
          <w:color w:val="000000"/>
          <w:sz w:val="30"/>
          <w:szCs w:val="30"/>
        </w:rPr>
        <w:t>募集资金投资项目</w:t>
      </w:r>
      <w:r w:rsidR="00161F79" w:rsidRPr="00350437">
        <w:rPr>
          <w:rFonts w:ascii="Arial" w:eastAsiaTheme="minorEastAsia" w:hAnsi="Arial" w:cs="Arial"/>
          <w:b/>
          <w:bCs/>
          <w:color w:val="000000"/>
          <w:sz w:val="30"/>
          <w:szCs w:val="30"/>
        </w:rPr>
        <w:t>延期</w:t>
      </w:r>
      <w:r w:rsidR="00161F79" w:rsidRPr="00350437">
        <w:rPr>
          <w:rFonts w:ascii="Arial" w:eastAsiaTheme="minorEastAsia" w:hAnsi="Arial" w:cs="Arial" w:hint="eastAsia"/>
          <w:b/>
          <w:bCs/>
          <w:color w:val="000000"/>
          <w:sz w:val="30"/>
          <w:szCs w:val="30"/>
        </w:rPr>
        <w:t>并</w:t>
      </w:r>
      <w:r w:rsidR="00161F79" w:rsidRPr="00350437">
        <w:rPr>
          <w:rFonts w:ascii="Arial" w:eastAsiaTheme="minorEastAsia" w:hAnsi="Arial" w:cs="Arial"/>
          <w:b/>
          <w:bCs/>
          <w:color w:val="000000"/>
          <w:sz w:val="30"/>
          <w:szCs w:val="30"/>
        </w:rPr>
        <w:t>重新论证</w:t>
      </w:r>
      <w:r w:rsidRPr="00350437">
        <w:rPr>
          <w:rFonts w:ascii="Arial" w:eastAsiaTheme="minorEastAsia" w:hAnsi="Arial" w:cs="Arial"/>
          <w:b/>
          <w:bCs/>
          <w:color w:val="000000"/>
          <w:sz w:val="30"/>
          <w:szCs w:val="30"/>
        </w:rPr>
        <w:t>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B43062" w:rsidRPr="00350437">
        <w:trPr>
          <w:trHeight w:val="981"/>
          <w:jc w:val="center"/>
        </w:trPr>
        <w:tc>
          <w:tcPr>
            <w:tcW w:w="8522" w:type="dxa"/>
            <w:vAlign w:val="center"/>
          </w:tcPr>
          <w:p w:rsidR="00B43062" w:rsidRPr="00350437" w:rsidRDefault="00BB16D4">
            <w:pPr>
              <w:autoSpaceDE w:val="0"/>
              <w:autoSpaceDN w:val="0"/>
              <w:adjustRightInd w:val="0"/>
              <w:spacing w:line="360" w:lineRule="auto"/>
              <w:ind w:firstLineChars="200" w:firstLine="482"/>
              <w:rPr>
                <w:rFonts w:ascii="Times New Roman" w:eastAsia="仿宋_GB2312" w:hAnsi="Times New Roman"/>
                <w:b/>
                <w:color w:val="000000"/>
                <w:sz w:val="24"/>
                <w:szCs w:val="24"/>
              </w:rPr>
            </w:pPr>
            <w:r w:rsidRPr="00350437">
              <w:rPr>
                <w:rFonts w:ascii="Times New Roman" w:hAnsi="Times New Roman"/>
                <w:b/>
                <w:sz w:val="24"/>
                <w:szCs w:val="24"/>
              </w:rPr>
              <w:t>本公司及董事会全体成员保证信息披露的内容真实、准确和完整，没有虚假记载、误导性陈述或重大遗漏。</w:t>
            </w:r>
          </w:p>
        </w:tc>
      </w:tr>
    </w:tbl>
    <w:p w:rsidR="00B43062" w:rsidRPr="00350437" w:rsidRDefault="00BB16D4" w:rsidP="00C62326">
      <w:pPr>
        <w:spacing w:beforeLines="100" w:before="312" w:line="360" w:lineRule="auto"/>
        <w:ind w:firstLineChars="200" w:firstLine="480"/>
        <w:rPr>
          <w:rFonts w:ascii="Arial" w:hAnsi="Times New Roman" w:cs="Arial"/>
          <w:sz w:val="24"/>
          <w:szCs w:val="24"/>
        </w:rPr>
      </w:pPr>
      <w:r w:rsidRPr="00350437">
        <w:rPr>
          <w:rFonts w:ascii="Arial" w:hAnsi="Times New Roman" w:cs="Arial"/>
          <w:sz w:val="24"/>
          <w:szCs w:val="24"/>
        </w:rPr>
        <w:t>南京宝色股份</w:t>
      </w:r>
      <w:r w:rsidRPr="00350437">
        <w:rPr>
          <w:rFonts w:ascii="Arial" w:hAnsi="Times New Roman" w:cs="Arial" w:hint="eastAsia"/>
          <w:sz w:val="24"/>
          <w:szCs w:val="24"/>
        </w:rPr>
        <w:t>公司（以下简称</w:t>
      </w:r>
      <w:r w:rsidRPr="00350437">
        <w:rPr>
          <w:rFonts w:asciiTheme="minorEastAsia" w:eastAsiaTheme="minorEastAsia" w:hAnsiTheme="minorEastAsia" w:cs="Arial"/>
          <w:sz w:val="24"/>
          <w:szCs w:val="24"/>
        </w:rPr>
        <w:t>“</w:t>
      </w:r>
      <w:r w:rsidRPr="00350437">
        <w:rPr>
          <w:rFonts w:asciiTheme="minorEastAsia" w:eastAsiaTheme="minorEastAsia" w:hAnsiTheme="minorEastAsia" w:cs="Arial" w:hint="eastAsia"/>
          <w:sz w:val="24"/>
          <w:szCs w:val="24"/>
        </w:rPr>
        <w:t>公司</w:t>
      </w:r>
      <w:r w:rsidRPr="00350437">
        <w:rPr>
          <w:rFonts w:asciiTheme="minorEastAsia" w:eastAsiaTheme="minorEastAsia" w:hAnsiTheme="minorEastAsia" w:cs="Arial"/>
          <w:sz w:val="24"/>
          <w:szCs w:val="24"/>
        </w:rPr>
        <w:t>”</w:t>
      </w:r>
      <w:r w:rsidRPr="00350437">
        <w:rPr>
          <w:rFonts w:ascii="Arial" w:hAnsi="Times New Roman" w:cs="Arial" w:hint="eastAsia"/>
          <w:sz w:val="24"/>
          <w:szCs w:val="24"/>
        </w:rPr>
        <w:t>）于</w:t>
      </w:r>
      <w:r w:rsidRPr="00350437">
        <w:rPr>
          <w:rFonts w:ascii="Arial" w:hAnsi="Times New Roman" w:cs="Arial"/>
          <w:sz w:val="24"/>
          <w:szCs w:val="24"/>
        </w:rPr>
        <w:t>2025</w:t>
      </w:r>
      <w:r w:rsidRPr="00350437">
        <w:rPr>
          <w:rFonts w:ascii="Arial" w:hAnsi="Times New Roman" w:cs="Arial" w:hint="eastAsia"/>
          <w:sz w:val="24"/>
          <w:szCs w:val="24"/>
        </w:rPr>
        <w:t>年</w:t>
      </w:r>
      <w:r w:rsidR="002E7714" w:rsidRPr="00350437">
        <w:rPr>
          <w:rFonts w:ascii="Arial" w:hAnsi="Times New Roman" w:cs="Arial"/>
          <w:sz w:val="24"/>
          <w:szCs w:val="24"/>
        </w:rPr>
        <w:t>7</w:t>
      </w:r>
      <w:r w:rsidRPr="00350437">
        <w:rPr>
          <w:rFonts w:ascii="Arial" w:hAnsi="Times New Roman" w:cs="Arial" w:hint="eastAsia"/>
          <w:sz w:val="24"/>
          <w:szCs w:val="24"/>
        </w:rPr>
        <w:t>月</w:t>
      </w:r>
      <w:r w:rsidR="00A46EEA" w:rsidRPr="00350437">
        <w:rPr>
          <w:rFonts w:ascii="Arial" w:hAnsi="Times New Roman" w:cs="Arial"/>
          <w:sz w:val="24"/>
          <w:szCs w:val="24"/>
        </w:rPr>
        <w:t>25</w:t>
      </w:r>
      <w:r w:rsidRPr="00350437">
        <w:rPr>
          <w:rFonts w:ascii="Arial" w:hAnsi="Times New Roman" w:cs="Arial" w:hint="eastAsia"/>
          <w:sz w:val="24"/>
          <w:szCs w:val="24"/>
        </w:rPr>
        <w:t>日召开第六届董事会第十</w:t>
      </w:r>
      <w:r w:rsidR="002E7714" w:rsidRPr="00350437">
        <w:rPr>
          <w:rFonts w:ascii="Arial" w:hAnsi="Times New Roman" w:cs="Arial"/>
          <w:sz w:val="24"/>
          <w:szCs w:val="24"/>
        </w:rPr>
        <w:t>三</w:t>
      </w:r>
      <w:r w:rsidRPr="00350437">
        <w:rPr>
          <w:rFonts w:ascii="Arial" w:hAnsi="Times New Roman" w:cs="Arial" w:hint="eastAsia"/>
          <w:sz w:val="24"/>
          <w:szCs w:val="24"/>
        </w:rPr>
        <w:t>次会议和第六届监事会第十</w:t>
      </w:r>
      <w:r w:rsidR="002E7714" w:rsidRPr="00350437">
        <w:rPr>
          <w:rFonts w:ascii="Arial" w:hAnsi="Times New Roman" w:cs="Arial" w:hint="eastAsia"/>
          <w:sz w:val="24"/>
          <w:szCs w:val="24"/>
        </w:rPr>
        <w:t>一</w:t>
      </w:r>
      <w:r w:rsidRPr="00350437">
        <w:rPr>
          <w:rFonts w:ascii="Arial" w:hAnsi="Times New Roman" w:cs="Arial" w:hint="eastAsia"/>
          <w:sz w:val="24"/>
          <w:szCs w:val="24"/>
        </w:rPr>
        <w:t>次会议，审议通过了《关于</w:t>
      </w:r>
      <w:r w:rsidR="00161F79" w:rsidRPr="00350437">
        <w:rPr>
          <w:rFonts w:ascii="Arial" w:hAnsi="Times New Roman" w:cs="Arial" w:hint="eastAsia"/>
          <w:sz w:val="24"/>
          <w:szCs w:val="24"/>
        </w:rPr>
        <w:t>公司</w:t>
      </w:r>
      <w:r w:rsidR="004474FB" w:rsidRPr="00350437">
        <w:rPr>
          <w:rFonts w:ascii="Arial" w:hAnsi="Times New Roman" w:cs="Arial"/>
          <w:sz w:val="24"/>
          <w:szCs w:val="24"/>
        </w:rPr>
        <w:t>募集资金投资项目</w:t>
      </w:r>
      <w:r w:rsidR="00161F79" w:rsidRPr="00350437">
        <w:rPr>
          <w:rFonts w:ascii="Arial" w:hAnsi="Times New Roman" w:cs="Arial" w:hint="eastAsia"/>
          <w:sz w:val="24"/>
          <w:szCs w:val="24"/>
        </w:rPr>
        <w:t>延期</w:t>
      </w:r>
      <w:r w:rsidR="00161F79" w:rsidRPr="00350437">
        <w:rPr>
          <w:rFonts w:ascii="Arial" w:hAnsi="Times New Roman" w:cs="Arial"/>
          <w:sz w:val="24"/>
          <w:szCs w:val="24"/>
        </w:rPr>
        <w:t>并</w:t>
      </w:r>
      <w:r w:rsidR="004474FB" w:rsidRPr="00350437">
        <w:rPr>
          <w:rFonts w:ascii="Arial" w:hAnsi="Times New Roman" w:cs="Arial"/>
          <w:sz w:val="24"/>
          <w:szCs w:val="24"/>
        </w:rPr>
        <w:t>重新论证</w:t>
      </w:r>
      <w:r w:rsidRPr="00350437">
        <w:rPr>
          <w:rFonts w:ascii="Arial" w:hAnsi="Times New Roman" w:cs="Arial" w:hint="eastAsia"/>
          <w:sz w:val="24"/>
          <w:szCs w:val="24"/>
        </w:rPr>
        <w:t>的议案》，</w:t>
      </w:r>
      <w:r w:rsidR="004474FB" w:rsidRPr="00350437">
        <w:rPr>
          <w:rFonts w:ascii="Arial" w:hAnsi="Times New Roman" w:cs="Arial" w:hint="eastAsia"/>
          <w:sz w:val="24"/>
          <w:szCs w:val="24"/>
        </w:rPr>
        <w:t>本事项无需提交公司股东</w:t>
      </w:r>
      <w:r w:rsidR="007F6029" w:rsidRPr="00350437">
        <w:rPr>
          <w:rFonts w:ascii="Arial" w:hAnsi="Times New Roman" w:cs="Arial" w:hint="eastAsia"/>
          <w:sz w:val="24"/>
          <w:szCs w:val="24"/>
        </w:rPr>
        <w:t>大</w:t>
      </w:r>
      <w:r w:rsidR="004474FB" w:rsidRPr="00350437">
        <w:rPr>
          <w:rFonts w:ascii="Arial" w:hAnsi="Times New Roman" w:cs="Arial" w:hint="eastAsia"/>
          <w:sz w:val="24"/>
          <w:szCs w:val="24"/>
        </w:rPr>
        <w:t>会审议</w:t>
      </w:r>
      <w:r w:rsidRPr="00350437">
        <w:rPr>
          <w:rFonts w:ascii="Arial" w:hAnsi="Times New Roman" w:cs="Arial" w:hint="eastAsia"/>
          <w:sz w:val="24"/>
          <w:szCs w:val="24"/>
        </w:rPr>
        <w:t>。具体情况如下：</w:t>
      </w:r>
    </w:p>
    <w:p w:rsidR="00B43062" w:rsidRPr="00350437" w:rsidRDefault="00BB16D4" w:rsidP="004A2E99">
      <w:pPr>
        <w:spacing w:beforeLines="25" w:before="78" w:line="360" w:lineRule="auto"/>
        <w:ind w:firstLineChars="200" w:firstLine="482"/>
        <w:outlineLvl w:val="0"/>
        <w:rPr>
          <w:rFonts w:ascii="Times New Roman" w:hAnsi="宋体"/>
          <w:b/>
          <w:color w:val="000000"/>
          <w:sz w:val="24"/>
        </w:rPr>
      </w:pPr>
      <w:r w:rsidRPr="00350437">
        <w:rPr>
          <w:rFonts w:ascii="Times New Roman" w:hAnsi="宋体"/>
          <w:b/>
          <w:color w:val="000000"/>
          <w:sz w:val="24"/>
        </w:rPr>
        <w:t>一、募集资金基本情况</w:t>
      </w:r>
    </w:p>
    <w:p w:rsidR="00B43062" w:rsidRPr="00350437" w:rsidRDefault="00BB16D4">
      <w:pPr>
        <w:spacing w:line="360" w:lineRule="auto"/>
        <w:ind w:firstLine="482"/>
        <w:rPr>
          <w:rFonts w:ascii="Arial" w:hAnsi="Arial" w:cs="Arial"/>
          <w:sz w:val="24"/>
        </w:rPr>
      </w:pPr>
      <w:r w:rsidRPr="00350437">
        <w:rPr>
          <w:rFonts w:ascii="Arial" w:hAnsi="Arial" w:cs="Arial"/>
          <w:sz w:val="24"/>
        </w:rPr>
        <w:t>经中国证券监督管理委员会《关于同意南京宝色股份公司向特定对象发行股票注册的批复》（证监许可〔</w:t>
      </w:r>
      <w:r w:rsidRPr="00350437">
        <w:rPr>
          <w:rFonts w:ascii="Arial" w:hAnsi="Arial" w:cs="Arial"/>
          <w:sz w:val="24"/>
        </w:rPr>
        <w:t>2023</w:t>
      </w:r>
      <w:r w:rsidRPr="00350437">
        <w:rPr>
          <w:rFonts w:ascii="Arial" w:hAnsi="Arial" w:cs="Arial"/>
          <w:sz w:val="24"/>
        </w:rPr>
        <w:t>〕</w:t>
      </w:r>
      <w:r w:rsidRPr="00350437">
        <w:rPr>
          <w:rFonts w:ascii="Arial" w:hAnsi="Arial" w:cs="Arial"/>
          <w:sz w:val="24"/>
        </w:rPr>
        <w:t>1059</w:t>
      </w:r>
      <w:r w:rsidRPr="00350437">
        <w:rPr>
          <w:rFonts w:ascii="Arial" w:hAnsi="Arial" w:cs="Arial"/>
          <w:sz w:val="24"/>
        </w:rPr>
        <w:t>号）同意，公司</w:t>
      </w:r>
      <w:r w:rsidRPr="00350437">
        <w:rPr>
          <w:rFonts w:ascii="Arial" w:hAnsi="Arial" w:cs="Arial" w:hint="eastAsia"/>
          <w:sz w:val="24"/>
        </w:rPr>
        <w:t>本次</w:t>
      </w:r>
      <w:r w:rsidRPr="00350437">
        <w:rPr>
          <w:rFonts w:ascii="Arial" w:hAnsi="Arial" w:cs="Arial"/>
          <w:sz w:val="24"/>
        </w:rPr>
        <w:t>向</w:t>
      </w:r>
      <w:r w:rsidRPr="00350437">
        <w:rPr>
          <w:rFonts w:ascii="Arial" w:hAnsi="Arial" w:cs="Arial" w:hint="eastAsia"/>
          <w:sz w:val="24"/>
        </w:rPr>
        <w:t>15</w:t>
      </w:r>
      <w:r w:rsidRPr="00350437">
        <w:rPr>
          <w:rFonts w:ascii="Arial" w:hAnsi="Arial" w:cs="Arial" w:hint="eastAsia"/>
          <w:sz w:val="24"/>
        </w:rPr>
        <w:t>名特定对象发行人民</w:t>
      </w:r>
      <w:r w:rsidRPr="00350437">
        <w:rPr>
          <w:rFonts w:ascii="Arial" w:hAnsi="Arial" w:cs="Arial"/>
          <w:sz w:val="24"/>
        </w:rPr>
        <w:t>币普通股（</w:t>
      </w:r>
      <w:r w:rsidRPr="00350437">
        <w:rPr>
          <w:rFonts w:ascii="Arial" w:hAnsi="Arial" w:cs="Arial"/>
          <w:sz w:val="24"/>
        </w:rPr>
        <w:t>A</w:t>
      </w:r>
      <w:r w:rsidRPr="00350437">
        <w:rPr>
          <w:rFonts w:ascii="Arial" w:hAnsi="Arial" w:cs="Arial"/>
          <w:sz w:val="24"/>
        </w:rPr>
        <w:t>股）</w:t>
      </w:r>
      <w:r w:rsidRPr="00350437">
        <w:rPr>
          <w:rFonts w:ascii="Arial" w:hAnsi="Arial" w:cs="Arial"/>
          <w:sz w:val="24"/>
        </w:rPr>
        <w:t>41,618,497</w:t>
      </w:r>
      <w:r w:rsidRPr="00350437">
        <w:rPr>
          <w:rFonts w:ascii="Arial" w:hAnsi="Arial" w:cs="Arial"/>
          <w:sz w:val="24"/>
        </w:rPr>
        <w:t>股，每股发行价格为</w:t>
      </w:r>
      <w:r w:rsidRPr="00350437">
        <w:rPr>
          <w:rFonts w:ascii="Arial" w:hAnsi="Arial" w:cs="Arial"/>
          <w:sz w:val="24"/>
        </w:rPr>
        <w:t>17.3</w:t>
      </w:r>
      <w:r w:rsidRPr="00350437">
        <w:rPr>
          <w:rFonts w:ascii="Arial" w:hAnsi="Arial" w:cs="Arial"/>
          <w:sz w:val="24"/>
        </w:rPr>
        <w:t>元，募集资金总额为人民币</w:t>
      </w:r>
      <w:r w:rsidRPr="00350437">
        <w:rPr>
          <w:rFonts w:ascii="Arial" w:hAnsi="Arial" w:cs="Arial"/>
          <w:sz w:val="24"/>
        </w:rPr>
        <w:t>719,999,998.10</w:t>
      </w:r>
      <w:r w:rsidRPr="00350437">
        <w:rPr>
          <w:rFonts w:ascii="Arial" w:hAnsi="Arial" w:cs="Arial"/>
          <w:sz w:val="24"/>
        </w:rPr>
        <w:t>元。扣除各项发行费用人民币</w:t>
      </w:r>
      <w:r w:rsidRPr="00350437">
        <w:rPr>
          <w:rFonts w:ascii="Arial" w:hAnsi="Arial" w:cs="Arial"/>
          <w:sz w:val="24"/>
        </w:rPr>
        <w:t>14,494,884.28</w:t>
      </w:r>
      <w:r w:rsidRPr="00350437">
        <w:rPr>
          <w:rFonts w:ascii="Arial" w:hAnsi="Arial" w:cs="Arial"/>
          <w:sz w:val="24"/>
        </w:rPr>
        <w:t>元（不含增值税），实际募集资金净额为人民币</w:t>
      </w:r>
      <w:r w:rsidRPr="00350437">
        <w:rPr>
          <w:rFonts w:ascii="Arial" w:hAnsi="Arial" w:cs="Arial"/>
          <w:sz w:val="24"/>
        </w:rPr>
        <w:t>705,505,113.82</w:t>
      </w:r>
      <w:r w:rsidRPr="00350437">
        <w:rPr>
          <w:rFonts w:ascii="Arial" w:hAnsi="Arial" w:cs="Arial"/>
          <w:sz w:val="24"/>
        </w:rPr>
        <w:t>元。大华会计师事务所（特殊普通合伙）已于</w:t>
      </w:r>
      <w:r w:rsidRPr="00350437">
        <w:rPr>
          <w:rFonts w:ascii="Arial" w:hAnsi="Arial" w:cs="Arial"/>
          <w:sz w:val="24"/>
        </w:rPr>
        <w:t>2023</w:t>
      </w:r>
      <w:r w:rsidRPr="00350437">
        <w:rPr>
          <w:rFonts w:ascii="Arial" w:hAnsi="Arial" w:cs="Arial"/>
          <w:sz w:val="24"/>
        </w:rPr>
        <w:t>年</w:t>
      </w:r>
      <w:r w:rsidRPr="00350437">
        <w:rPr>
          <w:rFonts w:ascii="Arial" w:hAnsi="Arial" w:cs="Arial"/>
          <w:sz w:val="24"/>
        </w:rPr>
        <w:t>7</w:t>
      </w:r>
      <w:r w:rsidRPr="00350437">
        <w:rPr>
          <w:rFonts w:ascii="Arial" w:hAnsi="Arial" w:cs="Arial"/>
          <w:sz w:val="24"/>
        </w:rPr>
        <w:t>月</w:t>
      </w:r>
      <w:r w:rsidRPr="00350437">
        <w:rPr>
          <w:rFonts w:ascii="Arial" w:hAnsi="Arial" w:cs="Arial"/>
          <w:sz w:val="24"/>
        </w:rPr>
        <w:t>26</w:t>
      </w:r>
      <w:r w:rsidRPr="00350437">
        <w:rPr>
          <w:rFonts w:ascii="Arial" w:hAnsi="Arial" w:cs="Arial"/>
          <w:sz w:val="24"/>
        </w:rPr>
        <w:t>日对公司本次向特定对象发行股票的募集资金到位情况进行了审验，并出具了大华验字</w:t>
      </w:r>
      <w:r w:rsidRPr="00350437">
        <w:rPr>
          <w:rFonts w:ascii="Arial" w:hAnsi="Arial" w:cs="Arial"/>
          <w:sz w:val="24"/>
        </w:rPr>
        <w:t>[2023]000457</w:t>
      </w:r>
      <w:r w:rsidRPr="00350437">
        <w:rPr>
          <w:rFonts w:ascii="Arial" w:hAnsi="Arial" w:cs="Arial"/>
          <w:sz w:val="24"/>
        </w:rPr>
        <w:t>号《南京宝色股份公司向特定对象发行人民币普通股股票（</w:t>
      </w:r>
      <w:r w:rsidRPr="00350437">
        <w:rPr>
          <w:rFonts w:ascii="Arial" w:hAnsi="Arial" w:cs="Arial"/>
          <w:sz w:val="24"/>
        </w:rPr>
        <w:t>A</w:t>
      </w:r>
      <w:r w:rsidRPr="00350437">
        <w:rPr>
          <w:rFonts w:ascii="Arial" w:hAnsi="Arial" w:cs="Arial"/>
          <w:sz w:val="24"/>
        </w:rPr>
        <w:t>股）验资报告》。</w:t>
      </w:r>
    </w:p>
    <w:p w:rsidR="00B43062" w:rsidRPr="00350437" w:rsidRDefault="00BB16D4">
      <w:pPr>
        <w:spacing w:line="360" w:lineRule="auto"/>
        <w:ind w:firstLine="482"/>
        <w:rPr>
          <w:rFonts w:ascii="Arial" w:cs="Arial"/>
          <w:sz w:val="24"/>
          <w:szCs w:val="24"/>
        </w:rPr>
      </w:pPr>
      <w:r w:rsidRPr="00350437">
        <w:rPr>
          <w:rFonts w:ascii="Arial" w:hAnsi="Arial" w:cs="Arial" w:hint="eastAsia"/>
          <w:color w:val="000000"/>
          <w:kern w:val="0"/>
          <w:sz w:val="24"/>
          <w:szCs w:val="24"/>
        </w:rPr>
        <w:t>公司已将上述募集资金存放于募集资金专项账户，并与保荐人、存放募集资金的银行签订了募集资金三方及四方监管协议，对募集资金的存放和使用进行专户管理。</w:t>
      </w:r>
    </w:p>
    <w:p w:rsidR="00161F79" w:rsidRPr="00350437" w:rsidRDefault="00161F79" w:rsidP="004A2E99">
      <w:pPr>
        <w:spacing w:beforeLines="25" w:before="78" w:line="360" w:lineRule="auto"/>
        <w:ind w:firstLineChars="200" w:firstLine="482"/>
        <w:outlineLvl w:val="0"/>
        <w:rPr>
          <w:rFonts w:ascii="Times New Roman" w:hAnsi="宋体"/>
          <w:b/>
          <w:color w:val="000000"/>
          <w:sz w:val="24"/>
        </w:rPr>
      </w:pPr>
      <w:r w:rsidRPr="00350437">
        <w:rPr>
          <w:rFonts w:ascii="Times New Roman" w:hAnsi="宋体" w:hint="eastAsia"/>
          <w:b/>
          <w:color w:val="000000"/>
          <w:sz w:val="24"/>
        </w:rPr>
        <w:t>二、募集资金投资项目及募集资金使用情况</w:t>
      </w:r>
    </w:p>
    <w:p w:rsidR="00161F79" w:rsidRPr="00350437" w:rsidRDefault="00161F79" w:rsidP="00C62326">
      <w:pPr>
        <w:spacing w:beforeLines="25" w:before="78" w:line="360" w:lineRule="auto"/>
        <w:ind w:firstLineChars="200" w:firstLine="480"/>
        <w:rPr>
          <w:rFonts w:ascii="Arial" w:hAnsi="Arial" w:cs="Arial"/>
          <w:sz w:val="24"/>
        </w:rPr>
      </w:pPr>
      <w:r w:rsidRPr="00350437">
        <w:rPr>
          <w:rFonts w:ascii="Arial" w:hAnsi="Arial" w:cs="Arial" w:hint="eastAsia"/>
          <w:sz w:val="24"/>
        </w:rPr>
        <w:t>根据公司《</w:t>
      </w:r>
      <w:r w:rsidRPr="00350437">
        <w:rPr>
          <w:rFonts w:ascii="Arial" w:hAnsi="Arial" w:cs="Arial"/>
          <w:sz w:val="24"/>
        </w:rPr>
        <w:t>2022</w:t>
      </w:r>
      <w:r w:rsidRPr="00350437">
        <w:rPr>
          <w:rFonts w:ascii="Arial" w:hAnsi="Arial" w:cs="Arial" w:hint="eastAsia"/>
          <w:sz w:val="24"/>
        </w:rPr>
        <w:t>年度向特定对象发行</w:t>
      </w:r>
      <w:r w:rsidRPr="00350437">
        <w:rPr>
          <w:rFonts w:ascii="Arial" w:hAnsi="Arial" w:cs="Arial"/>
          <w:sz w:val="24"/>
        </w:rPr>
        <w:t>A</w:t>
      </w:r>
      <w:r w:rsidRPr="00350437">
        <w:rPr>
          <w:rFonts w:ascii="Arial" w:hAnsi="Arial" w:cs="Arial" w:hint="eastAsia"/>
          <w:sz w:val="24"/>
        </w:rPr>
        <w:t>股股票募集说明书（注册稿）》披露的募集资金使用计划，本次向特定对象发行股票募集资金总额在扣除发行费用后用于“宝色（南通）高端特材装备智能制造项目、宝色工程技术研发中心、宝色舰船及海洋工程装备制造提质扩能项目</w:t>
      </w:r>
      <w:r w:rsidR="00680A92" w:rsidRPr="00350437">
        <w:rPr>
          <w:rFonts w:ascii="Arial" w:hAnsi="Arial" w:cs="Arial" w:hint="eastAsia"/>
          <w:sz w:val="24"/>
        </w:rPr>
        <w:t>、</w:t>
      </w:r>
      <w:r w:rsidRPr="00350437">
        <w:rPr>
          <w:rFonts w:ascii="Arial" w:hAnsi="Arial" w:cs="Arial" w:hint="eastAsia"/>
          <w:sz w:val="24"/>
        </w:rPr>
        <w:t>补充流动资金</w:t>
      </w:r>
      <w:r w:rsidR="00680A92" w:rsidRPr="00350437">
        <w:rPr>
          <w:rFonts w:ascii="Arial" w:hAnsi="Arial" w:cs="Arial" w:hint="eastAsia"/>
          <w:sz w:val="24"/>
        </w:rPr>
        <w:t>与</w:t>
      </w:r>
      <w:r w:rsidR="00680A92" w:rsidRPr="00350437">
        <w:rPr>
          <w:rFonts w:ascii="Arial" w:hAnsi="Arial" w:cs="Arial"/>
          <w:sz w:val="24"/>
        </w:rPr>
        <w:t>偿还债务</w:t>
      </w:r>
      <w:r w:rsidR="00680A92" w:rsidRPr="00350437">
        <w:rPr>
          <w:rFonts w:ascii="Arial" w:hAnsi="Arial" w:cs="Arial"/>
          <w:sz w:val="24"/>
        </w:rPr>
        <w:t>”</w:t>
      </w:r>
      <w:r w:rsidRPr="00350437">
        <w:rPr>
          <w:rFonts w:ascii="Arial" w:hAnsi="Arial" w:cs="Arial" w:hint="eastAsia"/>
          <w:sz w:val="24"/>
        </w:rPr>
        <w:t>。</w:t>
      </w:r>
    </w:p>
    <w:p w:rsidR="00161F79" w:rsidRPr="00350437" w:rsidRDefault="00161F79">
      <w:pPr>
        <w:spacing w:beforeLines="25" w:before="78" w:line="360" w:lineRule="auto"/>
        <w:ind w:firstLineChars="200" w:firstLine="480"/>
        <w:rPr>
          <w:rFonts w:ascii="Arial" w:hAnsi="Arial" w:cs="Arial"/>
          <w:sz w:val="24"/>
        </w:rPr>
      </w:pPr>
      <w:r w:rsidRPr="00350437">
        <w:rPr>
          <w:rFonts w:ascii="Arial" w:hAnsi="Arial" w:cs="Arial" w:hint="eastAsia"/>
          <w:sz w:val="24"/>
        </w:rPr>
        <w:t>截至</w:t>
      </w:r>
      <w:r w:rsidRPr="00350437">
        <w:rPr>
          <w:rFonts w:ascii="Arial" w:hAnsi="Arial" w:cs="Arial"/>
          <w:sz w:val="24"/>
        </w:rPr>
        <w:t>2025</w:t>
      </w:r>
      <w:r w:rsidRPr="00350437">
        <w:rPr>
          <w:rFonts w:ascii="Arial" w:hAnsi="Arial" w:cs="Arial" w:hint="eastAsia"/>
          <w:sz w:val="24"/>
        </w:rPr>
        <w:t>年</w:t>
      </w:r>
      <w:r w:rsidRPr="00350437">
        <w:rPr>
          <w:rFonts w:ascii="Arial" w:hAnsi="Arial" w:cs="Arial"/>
          <w:sz w:val="24"/>
        </w:rPr>
        <w:t>6</w:t>
      </w:r>
      <w:r w:rsidRPr="00350437">
        <w:rPr>
          <w:rFonts w:ascii="Arial" w:hAnsi="Arial" w:cs="Arial" w:hint="eastAsia"/>
          <w:sz w:val="24"/>
        </w:rPr>
        <w:t>月</w:t>
      </w:r>
      <w:r w:rsidRPr="00350437">
        <w:rPr>
          <w:rFonts w:ascii="Arial" w:hAnsi="Arial" w:cs="Arial"/>
          <w:sz w:val="24"/>
        </w:rPr>
        <w:t>30</w:t>
      </w:r>
      <w:r w:rsidRPr="00350437">
        <w:rPr>
          <w:rFonts w:ascii="Arial" w:hAnsi="Arial" w:cs="Arial" w:hint="eastAsia"/>
          <w:sz w:val="24"/>
        </w:rPr>
        <w:t>日，募集资金投资项目及</w:t>
      </w:r>
      <w:r w:rsidRPr="00350437">
        <w:rPr>
          <w:rFonts w:ascii="Arial" w:hAnsi="Arial" w:cs="Arial"/>
          <w:sz w:val="24"/>
        </w:rPr>
        <w:t>募集资金使用情况</w:t>
      </w:r>
      <w:r w:rsidRPr="00350437">
        <w:rPr>
          <w:rFonts w:ascii="Arial" w:hAnsi="Arial" w:cs="Arial" w:hint="eastAsia"/>
          <w:sz w:val="24"/>
        </w:rPr>
        <w:t>具体如下：</w:t>
      </w:r>
    </w:p>
    <w:p w:rsidR="00706954" w:rsidRPr="00350437" w:rsidRDefault="00161F79">
      <w:pPr>
        <w:spacing w:beforeLines="25" w:before="78" w:line="360" w:lineRule="auto"/>
        <w:ind w:firstLineChars="200" w:firstLine="420"/>
        <w:jc w:val="right"/>
        <w:rPr>
          <w:rFonts w:ascii="Arial" w:hAnsi="Arial" w:cs="Arial"/>
          <w:szCs w:val="21"/>
        </w:rPr>
      </w:pPr>
      <w:r w:rsidRPr="00350437">
        <w:rPr>
          <w:rFonts w:ascii="Arial" w:hAnsi="Arial" w:cs="Arial" w:hint="eastAsia"/>
          <w:szCs w:val="21"/>
        </w:rPr>
        <w:t>单位：元</w:t>
      </w:r>
    </w:p>
    <w:tbl>
      <w:tblPr>
        <w:tblW w:w="5277" w:type="pct"/>
        <w:jc w:val="center"/>
        <w:tblBorders>
          <w:top w:val="single" w:sz="6" w:space="0" w:color="auto"/>
          <w:bottom w:val="single" w:sz="6" w:space="0" w:color="auto"/>
          <w:insideH w:val="dotted" w:sz="2" w:space="0" w:color="auto"/>
          <w:insideV w:val="dotted" w:sz="2" w:space="0" w:color="auto"/>
        </w:tblBorders>
        <w:tblLayout w:type="fixed"/>
        <w:tblCellMar>
          <w:left w:w="28" w:type="dxa"/>
          <w:right w:w="28" w:type="dxa"/>
        </w:tblCellMar>
        <w:tblLook w:val="04A0" w:firstRow="1" w:lastRow="0" w:firstColumn="1" w:lastColumn="0" w:noHBand="0" w:noVBand="1"/>
      </w:tblPr>
      <w:tblGrid>
        <w:gridCol w:w="1851"/>
        <w:gridCol w:w="1530"/>
        <w:gridCol w:w="1697"/>
        <w:gridCol w:w="1567"/>
        <w:gridCol w:w="1059"/>
        <w:gridCol w:w="1569"/>
      </w:tblGrid>
      <w:tr w:rsidR="00161F79" w:rsidRPr="00350437" w:rsidTr="0009055B">
        <w:trPr>
          <w:trHeight w:val="425"/>
          <w:jc w:val="center"/>
        </w:trPr>
        <w:tc>
          <w:tcPr>
            <w:tcW w:w="998" w:type="pct"/>
            <w:shd w:val="clear" w:color="auto" w:fill="DCDCDC"/>
            <w:vAlign w:val="center"/>
          </w:tcPr>
          <w:p w:rsidR="00161F79" w:rsidRPr="00350437" w:rsidRDefault="00161F79" w:rsidP="007F350E">
            <w:pPr>
              <w:spacing w:line="240" w:lineRule="atLeast"/>
              <w:jc w:val="center"/>
              <w:rPr>
                <w:rFonts w:ascii="Arial" w:hAnsi="Arial" w:cs="Arial"/>
                <w:b/>
                <w:color w:val="000000"/>
                <w:szCs w:val="21"/>
              </w:rPr>
            </w:pPr>
            <w:r w:rsidRPr="00350437">
              <w:rPr>
                <w:rFonts w:ascii="Arial" w:hAnsi="Arial" w:cs="Arial" w:hint="eastAsia"/>
                <w:b/>
                <w:color w:val="000000"/>
                <w:szCs w:val="21"/>
              </w:rPr>
              <w:lastRenderedPageBreak/>
              <w:t>项目</w:t>
            </w:r>
          </w:p>
        </w:tc>
        <w:tc>
          <w:tcPr>
            <w:tcW w:w="825" w:type="pct"/>
            <w:shd w:val="clear" w:color="auto" w:fill="DCDCDC"/>
            <w:vAlign w:val="center"/>
          </w:tcPr>
          <w:p w:rsidR="00161F79" w:rsidRPr="00350437" w:rsidRDefault="00161F79" w:rsidP="007F350E">
            <w:pPr>
              <w:spacing w:line="240" w:lineRule="atLeast"/>
              <w:jc w:val="center"/>
              <w:rPr>
                <w:rFonts w:ascii="Arial" w:hAnsi="Arial" w:cs="Arial"/>
                <w:b/>
                <w:color w:val="000000"/>
                <w:szCs w:val="21"/>
              </w:rPr>
            </w:pPr>
            <w:r w:rsidRPr="00350437">
              <w:rPr>
                <w:rFonts w:ascii="Arial" w:hAnsi="Arial" w:cs="Arial" w:hint="eastAsia"/>
                <w:b/>
                <w:color w:val="000000"/>
                <w:szCs w:val="21"/>
              </w:rPr>
              <w:t>募集资金承诺投资总额</w:t>
            </w:r>
          </w:p>
        </w:tc>
        <w:tc>
          <w:tcPr>
            <w:tcW w:w="915" w:type="pct"/>
            <w:shd w:val="clear" w:color="auto" w:fill="DCDCDC"/>
            <w:vAlign w:val="center"/>
          </w:tcPr>
          <w:p w:rsidR="00161F79" w:rsidRPr="00350437" w:rsidRDefault="00161F79" w:rsidP="007F350E">
            <w:pPr>
              <w:spacing w:line="240" w:lineRule="atLeast"/>
              <w:jc w:val="center"/>
              <w:rPr>
                <w:rFonts w:ascii="Arial" w:hAnsi="Arial" w:cs="Arial"/>
                <w:b/>
                <w:color w:val="000000"/>
                <w:szCs w:val="21"/>
              </w:rPr>
            </w:pPr>
            <w:r w:rsidRPr="00350437">
              <w:rPr>
                <w:rFonts w:ascii="Arial" w:hAnsi="Arial" w:cs="Arial" w:hint="eastAsia"/>
                <w:b/>
                <w:color w:val="000000"/>
                <w:szCs w:val="21"/>
              </w:rPr>
              <w:t>调整后募集资金投资总额</w:t>
            </w:r>
          </w:p>
        </w:tc>
        <w:tc>
          <w:tcPr>
            <w:tcW w:w="845" w:type="pct"/>
            <w:shd w:val="clear" w:color="auto" w:fill="DCDCDC"/>
            <w:vAlign w:val="center"/>
          </w:tcPr>
          <w:p w:rsidR="00161F79" w:rsidRPr="00350437" w:rsidRDefault="00161F79" w:rsidP="007F350E">
            <w:pPr>
              <w:spacing w:line="240" w:lineRule="atLeast"/>
              <w:jc w:val="center"/>
              <w:rPr>
                <w:rFonts w:ascii="Arial" w:hAnsi="Arial" w:cs="Arial"/>
                <w:b/>
                <w:color w:val="000000"/>
                <w:szCs w:val="21"/>
              </w:rPr>
            </w:pPr>
            <w:r w:rsidRPr="00350437">
              <w:rPr>
                <w:rFonts w:ascii="Arial" w:hAnsi="Arial" w:cs="Arial" w:hint="eastAsia"/>
                <w:b/>
                <w:color w:val="000000"/>
                <w:szCs w:val="21"/>
              </w:rPr>
              <w:t>截至</w:t>
            </w:r>
            <w:r w:rsidRPr="00350437">
              <w:rPr>
                <w:rFonts w:ascii="Arial" w:hAnsi="Arial" w:cs="Arial"/>
                <w:b/>
                <w:color w:val="000000"/>
                <w:szCs w:val="21"/>
              </w:rPr>
              <w:t>2025</w:t>
            </w:r>
            <w:r w:rsidRPr="00350437">
              <w:rPr>
                <w:rFonts w:ascii="Arial" w:hAnsi="Arial" w:cs="Arial" w:hint="eastAsia"/>
                <w:b/>
                <w:color w:val="000000"/>
                <w:szCs w:val="21"/>
              </w:rPr>
              <w:t>年</w:t>
            </w:r>
            <w:r w:rsidRPr="00350437">
              <w:rPr>
                <w:rFonts w:ascii="Arial" w:hAnsi="Arial" w:cs="Arial"/>
                <w:b/>
                <w:color w:val="000000"/>
                <w:szCs w:val="21"/>
              </w:rPr>
              <w:t>6</w:t>
            </w:r>
            <w:r w:rsidRPr="00350437">
              <w:rPr>
                <w:rFonts w:ascii="Arial" w:hAnsi="Arial" w:cs="Arial" w:hint="eastAsia"/>
                <w:b/>
                <w:color w:val="000000"/>
                <w:szCs w:val="21"/>
              </w:rPr>
              <w:t>月</w:t>
            </w:r>
            <w:r w:rsidRPr="00350437">
              <w:rPr>
                <w:rFonts w:ascii="Arial" w:hAnsi="Arial" w:cs="Arial"/>
                <w:b/>
                <w:color w:val="000000"/>
                <w:szCs w:val="21"/>
              </w:rPr>
              <w:t>30</w:t>
            </w:r>
            <w:r w:rsidRPr="00350437">
              <w:rPr>
                <w:rFonts w:ascii="Arial" w:hAnsi="Arial" w:cs="Arial" w:hint="eastAsia"/>
                <w:b/>
                <w:color w:val="000000"/>
                <w:szCs w:val="21"/>
              </w:rPr>
              <w:t>日累计投入募集资金金额</w:t>
            </w:r>
          </w:p>
        </w:tc>
        <w:tc>
          <w:tcPr>
            <w:tcW w:w="571" w:type="pct"/>
            <w:shd w:val="clear" w:color="auto" w:fill="DCDCDC"/>
            <w:vAlign w:val="center"/>
          </w:tcPr>
          <w:p w:rsidR="00161F79" w:rsidRPr="00350437" w:rsidRDefault="00161F79" w:rsidP="007F350E">
            <w:pPr>
              <w:spacing w:line="240" w:lineRule="atLeast"/>
              <w:jc w:val="center"/>
              <w:rPr>
                <w:rFonts w:ascii="Arial" w:hAnsi="Arial" w:cs="Arial"/>
                <w:b/>
                <w:color w:val="000000"/>
                <w:szCs w:val="21"/>
              </w:rPr>
            </w:pPr>
            <w:r w:rsidRPr="00350437">
              <w:rPr>
                <w:rFonts w:ascii="Arial" w:hAnsi="Arial" w:cs="Arial" w:hint="eastAsia"/>
                <w:b/>
                <w:color w:val="000000"/>
                <w:szCs w:val="21"/>
              </w:rPr>
              <w:t>投资进度</w:t>
            </w:r>
          </w:p>
        </w:tc>
        <w:tc>
          <w:tcPr>
            <w:tcW w:w="846" w:type="pct"/>
            <w:shd w:val="clear" w:color="auto" w:fill="DCDCDC"/>
            <w:vAlign w:val="center"/>
          </w:tcPr>
          <w:p w:rsidR="00161F79" w:rsidRPr="00350437" w:rsidRDefault="00161F79" w:rsidP="007F350E">
            <w:pPr>
              <w:spacing w:line="240" w:lineRule="atLeast"/>
              <w:jc w:val="center"/>
              <w:rPr>
                <w:rFonts w:ascii="Arial" w:hAnsi="Arial" w:cs="Arial"/>
                <w:b/>
                <w:color w:val="000000"/>
                <w:szCs w:val="21"/>
              </w:rPr>
            </w:pPr>
            <w:r w:rsidRPr="00350437">
              <w:rPr>
                <w:rFonts w:ascii="Arial" w:hAnsi="Arial" w:cs="Arial" w:hint="eastAsia"/>
                <w:b/>
                <w:color w:val="000000"/>
                <w:szCs w:val="21"/>
              </w:rPr>
              <w:t>原预计达到可使用状态的日期</w:t>
            </w:r>
          </w:p>
        </w:tc>
      </w:tr>
      <w:tr w:rsidR="00161F79" w:rsidRPr="00350437" w:rsidTr="0009055B">
        <w:trPr>
          <w:trHeight w:val="425"/>
          <w:jc w:val="center"/>
        </w:trPr>
        <w:tc>
          <w:tcPr>
            <w:tcW w:w="998" w:type="pct"/>
            <w:shd w:val="clear" w:color="auto" w:fill="DCDCDC"/>
            <w:vAlign w:val="center"/>
          </w:tcPr>
          <w:p w:rsidR="00161F79" w:rsidRPr="00350437" w:rsidRDefault="00161F79" w:rsidP="007F350E">
            <w:pPr>
              <w:spacing w:line="240" w:lineRule="atLeast"/>
              <w:ind w:left="28"/>
              <w:jc w:val="left"/>
              <w:rPr>
                <w:rFonts w:ascii="Arial" w:hAnsi="Arial" w:cs="Arial"/>
                <w:szCs w:val="21"/>
              </w:rPr>
            </w:pPr>
            <w:r w:rsidRPr="00350437">
              <w:rPr>
                <w:rFonts w:ascii="Arial" w:hAnsi="Arial" w:cs="Arial" w:hint="eastAsia"/>
                <w:szCs w:val="21"/>
              </w:rPr>
              <w:t>宝色（南通）高端特材装备智能制造项目</w:t>
            </w:r>
          </w:p>
        </w:tc>
        <w:tc>
          <w:tcPr>
            <w:tcW w:w="825" w:type="pct"/>
            <w:tcBorders>
              <w:bottom w:val="dotted" w:sz="2" w:space="0" w:color="auto"/>
            </w:tcBorders>
            <w:vAlign w:val="center"/>
          </w:tcPr>
          <w:p w:rsidR="00161F79" w:rsidRPr="00350437" w:rsidRDefault="00161F79" w:rsidP="007F350E">
            <w:pPr>
              <w:widowControl/>
              <w:snapToGrid w:val="0"/>
              <w:jc w:val="right"/>
              <w:rPr>
                <w:rFonts w:ascii="Arial" w:hAnsi="Arial" w:cs="Arial"/>
                <w:kern w:val="0"/>
                <w:szCs w:val="21"/>
              </w:rPr>
            </w:pPr>
            <w:r w:rsidRPr="00350437">
              <w:rPr>
                <w:rFonts w:ascii="Arial" w:hAnsi="Arial" w:cs="Arial"/>
                <w:kern w:val="0"/>
                <w:szCs w:val="21"/>
              </w:rPr>
              <w:t>284,000,000.00</w:t>
            </w:r>
          </w:p>
        </w:tc>
        <w:tc>
          <w:tcPr>
            <w:tcW w:w="915" w:type="pct"/>
            <w:tcBorders>
              <w:bottom w:val="dotted" w:sz="2" w:space="0" w:color="auto"/>
            </w:tcBorders>
            <w:vAlign w:val="center"/>
          </w:tcPr>
          <w:p w:rsidR="00161F79" w:rsidRPr="00350437" w:rsidRDefault="00161F79" w:rsidP="007F350E">
            <w:pPr>
              <w:widowControl/>
              <w:snapToGrid w:val="0"/>
              <w:jc w:val="right"/>
              <w:rPr>
                <w:rFonts w:ascii="Arial" w:hAnsi="Arial" w:cs="Arial"/>
                <w:kern w:val="0"/>
                <w:szCs w:val="21"/>
              </w:rPr>
            </w:pPr>
            <w:r w:rsidRPr="00350437">
              <w:rPr>
                <w:rFonts w:ascii="Arial" w:hAnsi="Arial" w:cs="Arial"/>
                <w:kern w:val="0"/>
                <w:szCs w:val="21"/>
              </w:rPr>
              <w:t>284,000,000.00</w:t>
            </w:r>
          </w:p>
        </w:tc>
        <w:tc>
          <w:tcPr>
            <w:tcW w:w="845" w:type="pct"/>
            <w:tcBorders>
              <w:bottom w:val="dotted" w:sz="2" w:space="0" w:color="auto"/>
            </w:tcBorders>
            <w:vAlign w:val="center"/>
          </w:tcPr>
          <w:p w:rsidR="00161F79" w:rsidRPr="00350437" w:rsidRDefault="00161F79" w:rsidP="007F350E">
            <w:pPr>
              <w:widowControl/>
              <w:snapToGrid w:val="0"/>
              <w:jc w:val="right"/>
              <w:rPr>
                <w:rFonts w:ascii="Arial" w:hAnsi="Arial" w:cs="Arial"/>
                <w:kern w:val="0"/>
                <w:szCs w:val="21"/>
              </w:rPr>
            </w:pPr>
            <w:r w:rsidRPr="00350437">
              <w:rPr>
                <w:rFonts w:ascii="Arial" w:hAnsi="Arial" w:cs="Arial"/>
                <w:kern w:val="0"/>
                <w:szCs w:val="21"/>
              </w:rPr>
              <w:t>0.00</w:t>
            </w:r>
          </w:p>
        </w:tc>
        <w:tc>
          <w:tcPr>
            <w:tcW w:w="571" w:type="pct"/>
            <w:tcBorders>
              <w:bottom w:val="dotted" w:sz="2" w:space="0" w:color="auto"/>
            </w:tcBorders>
            <w:vAlign w:val="center"/>
          </w:tcPr>
          <w:p w:rsidR="00161F79" w:rsidRPr="00350437" w:rsidRDefault="00161F79" w:rsidP="007F350E">
            <w:pPr>
              <w:widowControl/>
              <w:snapToGrid w:val="0"/>
              <w:jc w:val="right"/>
              <w:rPr>
                <w:rFonts w:ascii="Arial" w:hAnsi="Arial" w:cs="Arial"/>
                <w:kern w:val="0"/>
                <w:szCs w:val="21"/>
              </w:rPr>
            </w:pPr>
            <w:r w:rsidRPr="00350437">
              <w:rPr>
                <w:rFonts w:ascii="Arial" w:hAnsi="Arial" w:cs="Arial"/>
                <w:kern w:val="0"/>
                <w:szCs w:val="21"/>
              </w:rPr>
              <w:t>0.00%</w:t>
            </w:r>
          </w:p>
        </w:tc>
        <w:tc>
          <w:tcPr>
            <w:tcW w:w="846" w:type="pct"/>
            <w:tcBorders>
              <w:bottom w:val="dotted" w:sz="2" w:space="0" w:color="auto"/>
            </w:tcBorders>
            <w:vAlign w:val="center"/>
          </w:tcPr>
          <w:p w:rsidR="00161F79" w:rsidRPr="00350437" w:rsidRDefault="00161F79" w:rsidP="007F350E">
            <w:pPr>
              <w:widowControl/>
              <w:snapToGrid w:val="0"/>
              <w:jc w:val="right"/>
              <w:rPr>
                <w:rFonts w:ascii="Arial" w:hAnsi="Arial" w:cs="Arial"/>
                <w:kern w:val="0"/>
                <w:szCs w:val="21"/>
              </w:rPr>
            </w:pPr>
            <w:r w:rsidRPr="00350437">
              <w:rPr>
                <w:rFonts w:ascii="Arial" w:hAnsi="Arial" w:cs="Arial"/>
                <w:kern w:val="0"/>
                <w:szCs w:val="21"/>
              </w:rPr>
              <w:t>2025</w:t>
            </w:r>
            <w:r w:rsidRPr="00350437">
              <w:rPr>
                <w:rFonts w:ascii="Arial" w:hAnsi="Arial" w:cs="Arial" w:hint="eastAsia"/>
                <w:kern w:val="0"/>
                <w:szCs w:val="21"/>
              </w:rPr>
              <w:t>年</w:t>
            </w:r>
            <w:r w:rsidRPr="00350437">
              <w:rPr>
                <w:rFonts w:ascii="Arial" w:hAnsi="Arial" w:cs="Arial"/>
                <w:kern w:val="0"/>
                <w:szCs w:val="21"/>
              </w:rPr>
              <w:t>8</w:t>
            </w:r>
            <w:r w:rsidRPr="00350437">
              <w:rPr>
                <w:rFonts w:ascii="Arial" w:hAnsi="Arial" w:cs="Arial" w:hint="eastAsia"/>
                <w:kern w:val="0"/>
                <w:szCs w:val="21"/>
              </w:rPr>
              <w:t>月</w:t>
            </w:r>
          </w:p>
        </w:tc>
      </w:tr>
      <w:tr w:rsidR="00AC6862" w:rsidRPr="00350437" w:rsidTr="0009055B">
        <w:trPr>
          <w:trHeight w:val="435"/>
          <w:jc w:val="center"/>
        </w:trPr>
        <w:tc>
          <w:tcPr>
            <w:tcW w:w="998" w:type="pct"/>
            <w:vMerge w:val="restart"/>
            <w:shd w:val="clear" w:color="auto" w:fill="DCDCDC"/>
            <w:vAlign w:val="center"/>
          </w:tcPr>
          <w:p w:rsidR="00AC6862" w:rsidRPr="00350437" w:rsidRDefault="00AC6862" w:rsidP="007F350E">
            <w:pPr>
              <w:spacing w:line="240" w:lineRule="atLeast"/>
              <w:jc w:val="left"/>
              <w:rPr>
                <w:rFonts w:ascii="Arial" w:hAnsi="Arial" w:cs="Arial"/>
                <w:szCs w:val="21"/>
              </w:rPr>
            </w:pPr>
            <w:r w:rsidRPr="00350437">
              <w:rPr>
                <w:rFonts w:ascii="Arial" w:hAnsi="Arial" w:cs="Arial" w:hint="eastAsia"/>
                <w:szCs w:val="21"/>
              </w:rPr>
              <w:t>宝色工程技术研发中心</w:t>
            </w:r>
          </w:p>
        </w:tc>
        <w:tc>
          <w:tcPr>
            <w:tcW w:w="825" w:type="pct"/>
            <w:vMerge w:val="restart"/>
            <w:tcBorders>
              <w:top w:val="dotted" w:sz="2" w:space="0" w:color="auto"/>
            </w:tcBorders>
            <w:shd w:val="clear" w:color="auto" w:fill="auto"/>
            <w:vAlign w:val="center"/>
          </w:tcPr>
          <w:p w:rsidR="00AC6862" w:rsidRPr="00350437" w:rsidRDefault="00AC6862" w:rsidP="007F350E">
            <w:pPr>
              <w:widowControl/>
              <w:snapToGrid w:val="0"/>
              <w:jc w:val="right"/>
              <w:rPr>
                <w:rFonts w:ascii="Arial" w:hAnsi="Arial" w:cs="Arial"/>
                <w:kern w:val="0"/>
                <w:szCs w:val="21"/>
              </w:rPr>
            </w:pPr>
            <w:r w:rsidRPr="00350437">
              <w:rPr>
                <w:rFonts w:ascii="Arial" w:hAnsi="Arial" w:cs="Arial"/>
                <w:kern w:val="0"/>
                <w:szCs w:val="21"/>
              </w:rPr>
              <w:t>144,000,000.00</w:t>
            </w:r>
          </w:p>
        </w:tc>
        <w:tc>
          <w:tcPr>
            <w:tcW w:w="915" w:type="pct"/>
            <w:tcBorders>
              <w:top w:val="dotted" w:sz="2" w:space="0" w:color="auto"/>
            </w:tcBorders>
            <w:shd w:val="clear" w:color="auto" w:fill="auto"/>
            <w:vAlign w:val="center"/>
          </w:tcPr>
          <w:p w:rsidR="00AC6862" w:rsidRPr="00350437" w:rsidRDefault="00AC6862" w:rsidP="007F350E">
            <w:pPr>
              <w:widowControl/>
              <w:snapToGrid w:val="0"/>
              <w:jc w:val="right"/>
              <w:rPr>
                <w:rFonts w:ascii="Arial" w:hAnsi="Arial" w:cs="Arial"/>
                <w:kern w:val="0"/>
                <w:szCs w:val="21"/>
              </w:rPr>
            </w:pPr>
            <w:r w:rsidRPr="00350437">
              <w:rPr>
                <w:rFonts w:ascii="Arial" w:hAnsi="Arial" w:cs="Arial"/>
                <w:kern w:val="0"/>
                <w:szCs w:val="21"/>
              </w:rPr>
              <w:t>30,810,000.00</w:t>
            </w:r>
          </w:p>
        </w:tc>
        <w:tc>
          <w:tcPr>
            <w:tcW w:w="845" w:type="pct"/>
            <w:tcBorders>
              <w:top w:val="dotted" w:sz="2" w:space="0" w:color="auto"/>
            </w:tcBorders>
            <w:shd w:val="clear" w:color="auto" w:fill="auto"/>
            <w:vAlign w:val="center"/>
          </w:tcPr>
          <w:p w:rsidR="00AC6862" w:rsidRPr="00350437" w:rsidRDefault="009C30A3" w:rsidP="007F350E">
            <w:pPr>
              <w:jc w:val="right"/>
              <w:rPr>
                <w:rFonts w:ascii="Arial" w:hAnsi="Arial" w:cs="Arial"/>
                <w:color w:val="000000"/>
                <w:szCs w:val="21"/>
              </w:rPr>
            </w:pPr>
            <w:r w:rsidRPr="00350437">
              <w:rPr>
                <w:rFonts w:ascii="Arial" w:hAnsi="Arial" w:cs="Arial"/>
                <w:color w:val="000000"/>
                <w:szCs w:val="21"/>
              </w:rPr>
              <w:t>6,359,065.96</w:t>
            </w:r>
          </w:p>
        </w:tc>
        <w:tc>
          <w:tcPr>
            <w:tcW w:w="571" w:type="pct"/>
            <w:tcBorders>
              <w:top w:val="dotted" w:sz="2" w:space="0" w:color="auto"/>
            </w:tcBorders>
            <w:vAlign w:val="center"/>
          </w:tcPr>
          <w:p w:rsidR="00AC6862" w:rsidRPr="00350437" w:rsidRDefault="009C30A3" w:rsidP="007F350E">
            <w:pPr>
              <w:jc w:val="right"/>
              <w:rPr>
                <w:rFonts w:ascii="Arial" w:hAnsi="Arial" w:cs="Arial"/>
                <w:color w:val="000000"/>
                <w:szCs w:val="21"/>
              </w:rPr>
            </w:pPr>
            <w:r w:rsidRPr="00350437">
              <w:rPr>
                <w:rFonts w:ascii="Arial" w:hAnsi="Arial" w:cs="Arial" w:hint="eastAsia"/>
                <w:color w:val="000000"/>
                <w:szCs w:val="21"/>
              </w:rPr>
              <w:t>20.64%</w:t>
            </w:r>
          </w:p>
        </w:tc>
        <w:tc>
          <w:tcPr>
            <w:tcW w:w="846" w:type="pct"/>
            <w:tcBorders>
              <w:top w:val="dotted" w:sz="2" w:space="0" w:color="auto"/>
            </w:tcBorders>
            <w:vAlign w:val="center"/>
          </w:tcPr>
          <w:p w:rsidR="00AC6862" w:rsidRPr="00350437" w:rsidRDefault="00AC6862" w:rsidP="007F350E">
            <w:pPr>
              <w:jc w:val="right"/>
              <w:rPr>
                <w:rFonts w:ascii="Arial" w:hAnsi="Arial" w:cs="Arial"/>
                <w:color w:val="000000"/>
                <w:szCs w:val="21"/>
              </w:rPr>
            </w:pPr>
            <w:r w:rsidRPr="00350437">
              <w:rPr>
                <w:rFonts w:ascii="Arial" w:hAnsi="Arial" w:cs="Arial"/>
                <w:color w:val="000000"/>
                <w:szCs w:val="21"/>
              </w:rPr>
              <w:t>2025</w:t>
            </w:r>
            <w:r w:rsidRPr="00350437">
              <w:rPr>
                <w:rFonts w:ascii="Arial" w:hAnsi="Arial" w:cs="Arial" w:hint="eastAsia"/>
                <w:color w:val="000000"/>
                <w:szCs w:val="21"/>
              </w:rPr>
              <w:t>年</w:t>
            </w:r>
            <w:r w:rsidRPr="00350437">
              <w:rPr>
                <w:rFonts w:ascii="Arial" w:hAnsi="Arial" w:cs="Arial"/>
                <w:color w:val="000000"/>
                <w:szCs w:val="21"/>
              </w:rPr>
              <w:t>8</w:t>
            </w:r>
            <w:r w:rsidRPr="00350437">
              <w:rPr>
                <w:rFonts w:ascii="Arial" w:hAnsi="Arial" w:cs="Arial" w:hint="eastAsia"/>
                <w:color w:val="000000"/>
                <w:szCs w:val="21"/>
              </w:rPr>
              <w:t>月</w:t>
            </w:r>
          </w:p>
        </w:tc>
      </w:tr>
      <w:tr w:rsidR="00AC6862" w:rsidRPr="00350437" w:rsidTr="0009055B">
        <w:trPr>
          <w:trHeight w:val="435"/>
          <w:jc w:val="center"/>
        </w:trPr>
        <w:tc>
          <w:tcPr>
            <w:tcW w:w="998" w:type="pct"/>
            <w:vMerge/>
            <w:shd w:val="clear" w:color="auto" w:fill="DCDCDC"/>
            <w:vAlign w:val="center"/>
          </w:tcPr>
          <w:p w:rsidR="00AC6862" w:rsidRPr="00350437" w:rsidRDefault="00AC6862" w:rsidP="007F350E">
            <w:pPr>
              <w:spacing w:line="240" w:lineRule="atLeast"/>
              <w:jc w:val="left"/>
              <w:rPr>
                <w:rFonts w:ascii="Arial" w:hAnsi="Arial" w:cs="Arial"/>
                <w:szCs w:val="21"/>
              </w:rPr>
            </w:pPr>
          </w:p>
        </w:tc>
        <w:tc>
          <w:tcPr>
            <w:tcW w:w="825" w:type="pct"/>
            <w:vMerge/>
            <w:tcBorders>
              <w:bottom w:val="dotted" w:sz="2" w:space="0" w:color="auto"/>
            </w:tcBorders>
            <w:shd w:val="clear" w:color="auto" w:fill="auto"/>
            <w:vAlign w:val="center"/>
          </w:tcPr>
          <w:p w:rsidR="00AC6862" w:rsidRPr="00350437" w:rsidRDefault="00AC6862" w:rsidP="007F350E">
            <w:pPr>
              <w:widowControl/>
              <w:snapToGrid w:val="0"/>
              <w:jc w:val="right"/>
              <w:rPr>
                <w:rFonts w:ascii="Arial" w:hAnsi="Arial" w:cs="Arial"/>
                <w:kern w:val="0"/>
                <w:szCs w:val="21"/>
              </w:rPr>
            </w:pPr>
          </w:p>
        </w:tc>
        <w:tc>
          <w:tcPr>
            <w:tcW w:w="915" w:type="pct"/>
            <w:tcBorders>
              <w:top w:val="dotted" w:sz="2" w:space="0" w:color="auto"/>
            </w:tcBorders>
            <w:shd w:val="clear" w:color="auto" w:fill="auto"/>
            <w:vAlign w:val="center"/>
          </w:tcPr>
          <w:p w:rsidR="00AC6862" w:rsidRPr="00350437" w:rsidRDefault="00A46EEA" w:rsidP="007F350E">
            <w:pPr>
              <w:widowControl/>
              <w:snapToGrid w:val="0"/>
              <w:jc w:val="right"/>
              <w:rPr>
                <w:rFonts w:ascii="Arial" w:hAnsi="Arial" w:cs="Arial"/>
                <w:kern w:val="0"/>
                <w:szCs w:val="21"/>
              </w:rPr>
            </w:pPr>
            <w:r w:rsidRPr="00350437">
              <w:rPr>
                <w:rFonts w:ascii="Arial" w:eastAsiaTheme="minorEastAsia" w:hAnsi="Arial" w:cs="Arial"/>
                <w:kern w:val="0"/>
                <w:szCs w:val="21"/>
              </w:rPr>
              <w:t>113,190,000.00</w:t>
            </w:r>
          </w:p>
        </w:tc>
        <w:tc>
          <w:tcPr>
            <w:tcW w:w="845" w:type="pct"/>
            <w:shd w:val="clear" w:color="auto" w:fill="auto"/>
            <w:vAlign w:val="center"/>
          </w:tcPr>
          <w:p w:rsidR="00AC6862" w:rsidRPr="00350437" w:rsidRDefault="00A46EEA" w:rsidP="007F350E">
            <w:pPr>
              <w:jc w:val="right"/>
              <w:rPr>
                <w:rFonts w:ascii="Arial" w:hAnsi="Arial" w:cs="Arial"/>
                <w:color w:val="000000"/>
                <w:szCs w:val="21"/>
              </w:rPr>
            </w:pPr>
            <w:r w:rsidRPr="00350437">
              <w:rPr>
                <w:rFonts w:ascii="Arial" w:eastAsiaTheme="minorEastAsia" w:hAnsi="Arial" w:cs="Arial"/>
                <w:color w:val="000000"/>
                <w:szCs w:val="21"/>
              </w:rPr>
              <w:t>暂未确定投向</w:t>
            </w:r>
          </w:p>
        </w:tc>
        <w:tc>
          <w:tcPr>
            <w:tcW w:w="571" w:type="pct"/>
            <w:vAlign w:val="center"/>
          </w:tcPr>
          <w:p w:rsidR="00AC6862" w:rsidRPr="00350437" w:rsidRDefault="00A46EEA" w:rsidP="00A46EEA">
            <w:pPr>
              <w:jc w:val="center"/>
              <w:rPr>
                <w:rFonts w:ascii="Arial" w:hAnsi="Arial" w:cs="Arial"/>
                <w:color w:val="000000"/>
                <w:szCs w:val="21"/>
              </w:rPr>
            </w:pPr>
            <w:r w:rsidRPr="00350437">
              <w:rPr>
                <w:rFonts w:ascii="Arial" w:hAnsi="Arial" w:cs="Arial" w:hint="eastAsia"/>
                <w:color w:val="000000"/>
                <w:szCs w:val="21"/>
              </w:rPr>
              <w:t>/</w:t>
            </w:r>
          </w:p>
        </w:tc>
        <w:tc>
          <w:tcPr>
            <w:tcW w:w="846" w:type="pct"/>
            <w:vAlign w:val="center"/>
          </w:tcPr>
          <w:p w:rsidR="00AC6862" w:rsidRPr="00350437" w:rsidRDefault="00A46EEA" w:rsidP="00A46EEA">
            <w:pPr>
              <w:jc w:val="center"/>
              <w:rPr>
                <w:rFonts w:ascii="Arial" w:hAnsi="Arial" w:cs="Arial"/>
                <w:color w:val="000000"/>
                <w:szCs w:val="21"/>
              </w:rPr>
            </w:pPr>
            <w:r w:rsidRPr="00350437">
              <w:rPr>
                <w:rFonts w:ascii="Arial" w:hAnsi="Arial" w:cs="Arial" w:hint="eastAsia"/>
                <w:color w:val="000000"/>
                <w:szCs w:val="21"/>
              </w:rPr>
              <w:t>/</w:t>
            </w:r>
          </w:p>
        </w:tc>
      </w:tr>
      <w:tr w:rsidR="00AC6862" w:rsidRPr="00350437" w:rsidTr="0009055B">
        <w:trPr>
          <w:trHeight w:val="473"/>
          <w:jc w:val="center"/>
        </w:trPr>
        <w:tc>
          <w:tcPr>
            <w:tcW w:w="998" w:type="pct"/>
            <w:vMerge w:val="restart"/>
            <w:shd w:val="clear" w:color="auto" w:fill="DCDCDC"/>
            <w:vAlign w:val="center"/>
          </w:tcPr>
          <w:p w:rsidR="00AC6862" w:rsidRPr="00350437" w:rsidRDefault="00AC6862" w:rsidP="007F350E">
            <w:pPr>
              <w:spacing w:line="240" w:lineRule="atLeast"/>
              <w:jc w:val="left"/>
              <w:rPr>
                <w:rFonts w:ascii="Arial" w:hAnsi="Arial" w:cs="Arial"/>
                <w:szCs w:val="21"/>
              </w:rPr>
            </w:pPr>
            <w:r w:rsidRPr="00350437">
              <w:rPr>
                <w:rFonts w:ascii="Arial" w:hAnsi="Arial" w:cs="Arial" w:hint="eastAsia"/>
                <w:szCs w:val="21"/>
              </w:rPr>
              <w:t>宝色舰船及海洋工程装备制造提质扩能项目</w:t>
            </w:r>
          </w:p>
        </w:tc>
        <w:tc>
          <w:tcPr>
            <w:tcW w:w="825" w:type="pct"/>
            <w:vMerge w:val="restart"/>
            <w:vAlign w:val="center"/>
          </w:tcPr>
          <w:p w:rsidR="00AC6862" w:rsidRPr="00350437" w:rsidRDefault="00AC6862" w:rsidP="007F350E">
            <w:pPr>
              <w:widowControl/>
              <w:snapToGrid w:val="0"/>
              <w:jc w:val="right"/>
              <w:rPr>
                <w:rFonts w:ascii="Arial" w:hAnsi="Arial" w:cs="Arial"/>
                <w:kern w:val="0"/>
                <w:szCs w:val="21"/>
              </w:rPr>
            </w:pPr>
            <w:r w:rsidRPr="00350437">
              <w:rPr>
                <w:rFonts w:ascii="Arial" w:hAnsi="Arial" w:cs="Arial"/>
                <w:kern w:val="0"/>
                <w:szCs w:val="21"/>
              </w:rPr>
              <w:t>92,000,000.00</w:t>
            </w:r>
          </w:p>
        </w:tc>
        <w:tc>
          <w:tcPr>
            <w:tcW w:w="915" w:type="pct"/>
            <w:vAlign w:val="center"/>
          </w:tcPr>
          <w:p w:rsidR="00AC6862" w:rsidRPr="00350437" w:rsidRDefault="00AC6862" w:rsidP="007F350E">
            <w:pPr>
              <w:widowControl/>
              <w:snapToGrid w:val="0"/>
              <w:jc w:val="right"/>
              <w:rPr>
                <w:rFonts w:ascii="Arial" w:hAnsi="Arial" w:cs="Arial"/>
                <w:kern w:val="0"/>
                <w:szCs w:val="21"/>
              </w:rPr>
            </w:pPr>
            <w:r w:rsidRPr="00350437">
              <w:rPr>
                <w:rFonts w:ascii="Arial" w:hAnsi="Arial" w:cs="Arial"/>
                <w:kern w:val="0"/>
                <w:szCs w:val="21"/>
              </w:rPr>
              <w:t>9,699,215.96</w:t>
            </w:r>
          </w:p>
        </w:tc>
        <w:tc>
          <w:tcPr>
            <w:tcW w:w="845" w:type="pct"/>
            <w:vAlign w:val="center"/>
          </w:tcPr>
          <w:p w:rsidR="00AC6862" w:rsidRPr="00350437" w:rsidRDefault="00AC6862" w:rsidP="007F350E">
            <w:pPr>
              <w:jc w:val="right"/>
              <w:rPr>
                <w:rFonts w:ascii="Arial" w:hAnsi="Arial" w:cs="Arial"/>
                <w:color w:val="000000"/>
                <w:szCs w:val="21"/>
              </w:rPr>
            </w:pPr>
            <w:r w:rsidRPr="00350437">
              <w:rPr>
                <w:rFonts w:ascii="Arial" w:hAnsi="Arial" w:cs="Arial"/>
                <w:color w:val="000000"/>
                <w:szCs w:val="21"/>
              </w:rPr>
              <w:t xml:space="preserve">9,699,215.96 </w:t>
            </w:r>
          </w:p>
        </w:tc>
        <w:tc>
          <w:tcPr>
            <w:tcW w:w="571" w:type="pct"/>
            <w:vAlign w:val="center"/>
          </w:tcPr>
          <w:p w:rsidR="00AC6862" w:rsidRPr="00350437" w:rsidRDefault="00AC6862" w:rsidP="007F350E">
            <w:pPr>
              <w:jc w:val="right"/>
              <w:rPr>
                <w:rFonts w:ascii="Arial" w:hAnsi="Arial" w:cs="Arial"/>
                <w:color w:val="000000"/>
                <w:szCs w:val="21"/>
              </w:rPr>
            </w:pPr>
            <w:r w:rsidRPr="00350437">
              <w:rPr>
                <w:rFonts w:ascii="Arial" w:hAnsi="Arial" w:cs="Arial"/>
                <w:color w:val="000000"/>
                <w:szCs w:val="21"/>
              </w:rPr>
              <w:t>100%</w:t>
            </w:r>
          </w:p>
        </w:tc>
        <w:tc>
          <w:tcPr>
            <w:tcW w:w="846" w:type="pct"/>
            <w:vAlign w:val="center"/>
          </w:tcPr>
          <w:p w:rsidR="00AC6862" w:rsidRPr="00350437" w:rsidRDefault="00AC6862" w:rsidP="007F350E">
            <w:pPr>
              <w:jc w:val="right"/>
              <w:rPr>
                <w:rFonts w:ascii="Arial" w:hAnsi="Arial" w:cs="Arial"/>
                <w:color w:val="000000"/>
                <w:szCs w:val="21"/>
              </w:rPr>
            </w:pPr>
            <w:r w:rsidRPr="00350437">
              <w:rPr>
                <w:rFonts w:ascii="Arial" w:hAnsi="Arial" w:cs="Arial"/>
                <w:color w:val="000000"/>
                <w:szCs w:val="21"/>
              </w:rPr>
              <w:t>2024</w:t>
            </w:r>
            <w:r w:rsidRPr="00350437">
              <w:rPr>
                <w:rFonts w:ascii="Arial" w:hAnsi="Arial" w:cs="Arial" w:hint="eastAsia"/>
                <w:color w:val="000000"/>
                <w:szCs w:val="21"/>
              </w:rPr>
              <w:t>年</w:t>
            </w:r>
            <w:r w:rsidRPr="00350437">
              <w:rPr>
                <w:rFonts w:ascii="Arial" w:hAnsi="Arial" w:cs="Arial"/>
                <w:color w:val="000000"/>
                <w:szCs w:val="21"/>
              </w:rPr>
              <w:t>10</w:t>
            </w:r>
            <w:r w:rsidRPr="00350437">
              <w:rPr>
                <w:rFonts w:ascii="Arial" w:hAnsi="Arial" w:cs="Arial" w:hint="eastAsia"/>
                <w:color w:val="000000"/>
                <w:szCs w:val="21"/>
              </w:rPr>
              <w:t>月</w:t>
            </w:r>
          </w:p>
        </w:tc>
      </w:tr>
      <w:tr w:rsidR="00A46EEA" w:rsidRPr="00350437" w:rsidTr="0009055B">
        <w:trPr>
          <w:trHeight w:val="472"/>
          <w:jc w:val="center"/>
        </w:trPr>
        <w:tc>
          <w:tcPr>
            <w:tcW w:w="998" w:type="pct"/>
            <w:vMerge/>
            <w:shd w:val="clear" w:color="auto" w:fill="DCDCDC"/>
            <w:vAlign w:val="center"/>
          </w:tcPr>
          <w:p w:rsidR="00A46EEA" w:rsidRPr="00350437" w:rsidRDefault="00A46EEA" w:rsidP="00A46EEA">
            <w:pPr>
              <w:spacing w:line="240" w:lineRule="atLeast"/>
              <w:jc w:val="left"/>
              <w:rPr>
                <w:rFonts w:ascii="Arial" w:hAnsi="Arial" w:cs="Arial"/>
                <w:szCs w:val="21"/>
              </w:rPr>
            </w:pPr>
          </w:p>
        </w:tc>
        <w:tc>
          <w:tcPr>
            <w:tcW w:w="825" w:type="pct"/>
            <w:vMerge/>
            <w:vAlign w:val="center"/>
          </w:tcPr>
          <w:p w:rsidR="00A46EEA" w:rsidRPr="00350437" w:rsidRDefault="00A46EEA" w:rsidP="00A46EEA">
            <w:pPr>
              <w:widowControl/>
              <w:snapToGrid w:val="0"/>
              <w:jc w:val="right"/>
              <w:rPr>
                <w:rFonts w:ascii="Arial" w:hAnsi="Arial" w:cs="Arial"/>
                <w:kern w:val="0"/>
                <w:szCs w:val="21"/>
              </w:rPr>
            </w:pPr>
          </w:p>
        </w:tc>
        <w:tc>
          <w:tcPr>
            <w:tcW w:w="915" w:type="pct"/>
            <w:vAlign w:val="center"/>
          </w:tcPr>
          <w:p w:rsidR="00A46EEA" w:rsidRPr="00350437" w:rsidRDefault="00A46EEA" w:rsidP="00A46EEA">
            <w:pPr>
              <w:widowControl/>
              <w:snapToGrid w:val="0"/>
              <w:jc w:val="right"/>
              <w:rPr>
                <w:rFonts w:ascii="Arial" w:hAnsi="Arial" w:cs="Arial"/>
                <w:kern w:val="0"/>
                <w:szCs w:val="21"/>
              </w:rPr>
            </w:pPr>
            <w:r w:rsidRPr="00350437">
              <w:rPr>
                <w:rFonts w:ascii="Arial" w:eastAsiaTheme="minorEastAsia" w:hAnsi="Arial" w:cs="Arial"/>
                <w:kern w:val="0"/>
                <w:szCs w:val="21"/>
              </w:rPr>
              <w:t>82,300,784.04</w:t>
            </w:r>
          </w:p>
        </w:tc>
        <w:tc>
          <w:tcPr>
            <w:tcW w:w="845" w:type="pct"/>
            <w:vAlign w:val="center"/>
          </w:tcPr>
          <w:p w:rsidR="00A46EEA" w:rsidRPr="00350437" w:rsidRDefault="00A46EEA" w:rsidP="00A46EEA">
            <w:pPr>
              <w:jc w:val="right"/>
              <w:rPr>
                <w:rFonts w:ascii="Arial" w:hAnsi="Arial" w:cs="Arial"/>
                <w:color w:val="000000"/>
                <w:szCs w:val="21"/>
              </w:rPr>
            </w:pPr>
            <w:r w:rsidRPr="00350437">
              <w:rPr>
                <w:rFonts w:ascii="Arial" w:eastAsiaTheme="minorEastAsia" w:hAnsi="Arial" w:cs="Arial"/>
                <w:color w:val="000000"/>
                <w:szCs w:val="21"/>
              </w:rPr>
              <w:t>暂未确定投向</w:t>
            </w:r>
          </w:p>
        </w:tc>
        <w:tc>
          <w:tcPr>
            <w:tcW w:w="571" w:type="pct"/>
            <w:vAlign w:val="center"/>
          </w:tcPr>
          <w:p w:rsidR="00A46EEA" w:rsidRPr="00350437" w:rsidRDefault="00A46EEA" w:rsidP="00A46EEA">
            <w:pPr>
              <w:jc w:val="center"/>
              <w:rPr>
                <w:rFonts w:ascii="Arial" w:hAnsi="Arial" w:cs="Arial"/>
                <w:color w:val="000000"/>
                <w:szCs w:val="21"/>
              </w:rPr>
            </w:pPr>
            <w:r w:rsidRPr="00350437">
              <w:rPr>
                <w:rFonts w:ascii="Arial" w:hAnsi="Arial" w:cs="Arial" w:hint="eastAsia"/>
                <w:color w:val="000000"/>
                <w:szCs w:val="21"/>
              </w:rPr>
              <w:t>/</w:t>
            </w:r>
          </w:p>
        </w:tc>
        <w:tc>
          <w:tcPr>
            <w:tcW w:w="846" w:type="pct"/>
            <w:vAlign w:val="center"/>
          </w:tcPr>
          <w:p w:rsidR="00A46EEA" w:rsidRPr="00350437" w:rsidRDefault="00A46EEA" w:rsidP="00A46EEA">
            <w:pPr>
              <w:jc w:val="center"/>
              <w:rPr>
                <w:rFonts w:ascii="Arial" w:hAnsi="Arial" w:cs="Arial"/>
                <w:color w:val="000000"/>
                <w:szCs w:val="21"/>
              </w:rPr>
            </w:pPr>
            <w:r w:rsidRPr="00350437">
              <w:rPr>
                <w:rFonts w:ascii="Arial" w:hAnsi="Arial" w:cs="Arial" w:hint="eastAsia"/>
                <w:color w:val="000000"/>
                <w:szCs w:val="21"/>
              </w:rPr>
              <w:t>/</w:t>
            </w:r>
          </w:p>
        </w:tc>
      </w:tr>
      <w:tr w:rsidR="00A46EEA" w:rsidRPr="00350437" w:rsidTr="0009055B">
        <w:trPr>
          <w:trHeight w:val="425"/>
          <w:jc w:val="center"/>
        </w:trPr>
        <w:tc>
          <w:tcPr>
            <w:tcW w:w="998" w:type="pct"/>
            <w:shd w:val="clear" w:color="auto" w:fill="DCDCDC"/>
            <w:vAlign w:val="center"/>
          </w:tcPr>
          <w:p w:rsidR="00A46EEA" w:rsidRPr="00350437" w:rsidRDefault="00A46EEA" w:rsidP="00A46EEA">
            <w:pPr>
              <w:spacing w:line="240" w:lineRule="atLeast"/>
              <w:jc w:val="left"/>
              <w:rPr>
                <w:rFonts w:ascii="Arial" w:hAnsi="Arial" w:cs="Arial"/>
                <w:szCs w:val="21"/>
              </w:rPr>
            </w:pPr>
            <w:r w:rsidRPr="00350437">
              <w:rPr>
                <w:rFonts w:ascii="Arial" w:hAnsi="Arial" w:cs="Arial" w:hint="eastAsia"/>
                <w:szCs w:val="21"/>
              </w:rPr>
              <w:t>补充流动资金与偿还债务</w:t>
            </w:r>
          </w:p>
        </w:tc>
        <w:tc>
          <w:tcPr>
            <w:tcW w:w="825" w:type="pct"/>
            <w:tcBorders>
              <w:top w:val="dotted" w:sz="2" w:space="0" w:color="auto"/>
              <w:bottom w:val="dotted" w:sz="2" w:space="0" w:color="auto"/>
            </w:tcBorders>
            <w:shd w:val="clear" w:color="auto" w:fill="auto"/>
            <w:vAlign w:val="center"/>
          </w:tcPr>
          <w:p w:rsidR="00A46EEA" w:rsidRPr="00350437" w:rsidRDefault="00A46EEA" w:rsidP="00A46EEA">
            <w:pPr>
              <w:widowControl/>
              <w:snapToGrid w:val="0"/>
              <w:jc w:val="right"/>
              <w:rPr>
                <w:rFonts w:ascii="Arial" w:hAnsi="Arial" w:cs="Arial"/>
                <w:kern w:val="0"/>
                <w:szCs w:val="21"/>
              </w:rPr>
            </w:pPr>
            <w:r w:rsidRPr="00350437">
              <w:rPr>
                <w:rFonts w:ascii="Arial" w:hAnsi="Arial" w:cs="Arial"/>
                <w:kern w:val="0"/>
                <w:szCs w:val="21"/>
              </w:rPr>
              <w:t>185,505,113.82</w:t>
            </w:r>
          </w:p>
        </w:tc>
        <w:tc>
          <w:tcPr>
            <w:tcW w:w="915" w:type="pct"/>
            <w:tcBorders>
              <w:top w:val="dotted" w:sz="2" w:space="0" w:color="auto"/>
              <w:bottom w:val="dotted" w:sz="2" w:space="0" w:color="auto"/>
            </w:tcBorders>
            <w:shd w:val="clear" w:color="auto" w:fill="auto"/>
            <w:vAlign w:val="center"/>
          </w:tcPr>
          <w:p w:rsidR="00A46EEA" w:rsidRPr="00350437" w:rsidRDefault="00A46EEA" w:rsidP="00A46EEA">
            <w:pPr>
              <w:widowControl/>
              <w:snapToGrid w:val="0"/>
              <w:jc w:val="right"/>
              <w:rPr>
                <w:rFonts w:ascii="Arial" w:hAnsi="Arial" w:cs="Arial"/>
                <w:kern w:val="0"/>
                <w:szCs w:val="21"/>
              </w:rPr>
            </w:pPr>
            <w:r w:rsidRPr="00350437">
              <w:rPr>
                <w:rFonts w:ascii="Arial" w:hAnsi="Arial" w:cs="Arial"/>
                <w:kern w:val="0"/>
                <w:szCs w:val="21"/>
              </w:rPr>
              <w:t>185,505,113.82</w:t>
            </w:r>
          </w:p>
        </w:tc>
        <w:tc>
          <w:tcPr>
            <w:tcW w:w="845" w:type="pct"/>
            <w:tcBorders>
              <w:top w:val="dotted" w:sz="2" w:space="0" w:color="auto"/>
              <w:bottom w:val="dotted" w:sz="2" w:space="0" w:color="auto"/>
            </w:tcBorders>
            <w:shd w:val="clear" w:color="auto" w:fill="auto"/>
            <w:vAlign w:val="center"/>
          </w:tcPr>
          <w:p w:rsidR="00A46EEA" w:rsidRPr="00350437" w:rsidRDefault="00A46EEA" w:rsidP="00A46EEA">
            <w:pPr>
              <w:jc w:val="right"/>
              <w:rPr>
                <w:rFonts w:ascii="Arial" w:hAnsi="Arial" w:cs="Arial"/>
                <w:color w:val="000000"/>
                <w:szCs w:val="21"/>
              </w:rPr>
            </w:pPr>
            <w:r w:rsidRPr="00350437">
              <w:rPr>
                <w:rFonts w:ascii="Arial" w:hAnsi="Arial" w:cs="Arial"/>
                <w:color w:val="000000"/>
                <w:szCs w:val="21"/>
              </w:rPr>
              <w:t>185,502,138.89</w:t>
            </w:r>
          </w:p>
        </w:tc>
        <w:tc>
          <w:tcPr>
            <w:tcW w:w="571" w:type="pct"/>
            <w:tcBorders>
              <w:top w:val="dotted" w:sz="2" w:space="0" w:color="auto"/>
              <w:bottom w:val="dotted" w:sz="2" w:space="0" w:color="auto"/>
            </w:tcBorders>
            <w:vAlign w:val="center"/>
          </w:tcPr>
          <w:p w:rsidR="00A46EEA" w:rsidRPr="00350437" w:rsidRDefault="00AC00A4" w:rsidP="00816009">
            <w:pPr>
              <w:jc w:val="right"/>
              <w:rPr>
                <w:rFonts w:ascii="Arial" w:hAnsi="Arial" w:cs="Arial"/>
                <w:color w:val="000000"/>
                <w:szCs w:val="21"/>
              </w:rPr>
            </w:pPr>
            <w:r w:rsidRPr="00350437">
              <w:rPr>
                <w:rFonts w:ascii="Arial" w:hAnsi="Arial" w:cs="Arial"/>
                <w:color w:val="000000"/>
                <w:szCs w:val="21"/>
              </w:rPr>
              <w:t>100%</w:t>
            </w:r>
          </w:p>
        </w:tc>
        <w:tc>
          <w:tcPr>
            <w:tcW w:w="846" w:type="pct"/>
            <w:tcBorders>
              <w:top w:val="dotted" w:sz="2" w:space="0" w:color="auto"/>
              <w:bottom w:val="dotted" w:sz="2" w:space="0" w:color="auto"/>
            </w:tcBorders>
            <w:vAlign w:val="center"/>
          </w:tcPr>
          <w:p w:rsidR="00A46EEA" w:rsidRPr="00350437" w:rsidRDefault="00A46EEA" w:rsidP="00A46EEA">
            <w:pPr>
              <w:jc w:val="center"/>
              <w:rPr>
                <w:rFonts w:ascii="Arial" w:hAnsi="Arial" w:cs="Arial"/>
                <w:color w:val="000000"/>
                <w:szCs w:val="21"/>
              </w:rPr>
            </w:pPr>
            <w:r w:rsidRPr="00350437">
              <w:rPr>
                <w:rFonts w:ascii="Arial" w:hAnsi="Arial" w:cs="Arial"/>
                <w:color w:val="000000"/>
                <w:szCs w:val="21"/>
              </w:rPr>
              <w:t>/</w:t>
            </w:r>
          </w:p>
        </w:tc>
      </w:tr>
      <w:tr w:rsidR="00A46EEA" w:rsidRPr="00350437" w:rsidTr="00816009">
        <w:trPr>
          <w:trHeight w:val="425"/>
          <w:jc w:val="center"/>
        </w:trPr>
        <w:tc>
          <w:tcPr>
            <w:tcW w:w="998" w:type="pct"/>
            <w:shd w:val="clear" w:color="auto" w:fill="DCDCDC"/>
            <w:vAlign w:val="center"/>
          </w:tcPr>
          <w:p w:rsidR="00A46EEA" w:rsidRPr="00350437" w:rsidRDefault="00A46EEA" w:rsidP="00A46EEA">
            <w:pPr>
              <w:spacing w:line="240" w:lineRule="atLeast"/>
              <w:ind w:left="28"/>
              <w:jc w:val="left"/>
              <w:rPr>
                <w:rFonts w:ascii="Arial" w:hAnsi="Arial" w:cs="Arial"/>
                <w:b/>
                <w:bCs/>
                <w:szCs w:val="21"/>
              </w:rPr>
            </w:pPr>
            <w:r w:rsidRPr="00350437">
              <w:rPr>
                <w:rFonts w:ascii="Arial" w:hAnsi="Arial" w:cs="Arial" w:hint="eastAsia"/>
                <w:b/>
                <w:bCs/>
                <w:spacing w:val="-2"/>
                <w:szCs w:val="21"/>
              </w:rPr>
              <w:t>承诺投资项</w:t>
            </w:r>
            <w:r w:rsidRPr="00350437">
              <w:rPr>
                <w:rFonts w:ascii="Arial" w:hAnsi="Arial" w:cs="Arial" w:hint="eastAsia"/>
                <w:b/>
                <w:bCs/>
                <w:spacing w:val="-4"/>
                <w:szCs w:val="21"/>
              </w:rPr>
              <w:t>目小计</w:t>
            </w:r>
          </w:p>
        </w:tc>
        <w:tc>
          <w:tcPr>
            <w:tcW w:w="825" w:type="pct"/>
            <w:tcBorders>
              <w:top w:val="dotted" w:sz="2" w:space="0" w:color="auto"/>
              <w:bottom w:val="dotted" w:sz="2" w:space="0" w:color="auto"/>
            </w:tcBorders>
            <w:vAlign w:val="center"/>
          </w:tcPr>
          <w:p w:rsidR="00A46EEA" w:rsidRPr="00350437" w:rsidRDefault="00A46EEA" w:rsidP="0009055B">
            <w:pPr>
              <w:widowControl/>
              <w:rPr>
                <w:rFonts w:ascii="Arial" w:hAnsi="Arial" w:cs="Arial"/>
                <w:b/>
                <w:bCs/>
                <w:color w:val="000000"/>
                <w:szCs w:val="21"/>
              </w:rPr>
            </w:pPr>
            <w:r w:rsidRPr="00350437">
              <w:rPr>
                <w:rFonts w:ascii="Arial" w:hAnsi="Arial" w:cs="Arial"/>
                <w:b/>
                <w:bCs/>
                <w:color w:val="000000"/>
                <w:szCs w:val="21"/>
              </w:rPr>
              <w:t>705,505,113.82</w:t>
            </w:r>
          </w:p>
        </w:tc>
        <w:tc>
          <w:tcPr>
            <w:tcW w:w="915" w:type="pct"/>
            <w:tcBorders>
              <w:top w:val="dotted" w:sz="2" w:space="0" w:color="auto"/>
              <w:bottom w:val="dotted" w:sz="2" w:space="0" w:color="auto"/>
            </w:tcBorders>
            <w:vAlign w:val="center"/>
          </w:tcPr>
          <w:p w:rsidR="00A46EEA" w:rsidRPr="00350437" w:rsidRDefault="00A46EEA" w:rsidP="0009055B">
            <w:pPr>
              <w:widowControl/>
              <w:rPr>
                <w:rFonts w:ascii="Arial" w:hAnsi="Arial" w:cs="Arial"/>
                <w:b/>
                <w:bCs/>
                <w:color w:val="000000"/>
                <w:szCs w:val="21"/>
              </w:rPr>
            </w:pPr>
            <w:r w:rsidRPr="00350437">
              <w:rPr>
                <w:rFonts w:ascii="Arial" w:hAnsi="Arial" w:cs="Arial"/>
                <w:b/>
                <w:bCs/>
                <w:color w:val="000000"/>
                <w:szCs w:val="21"/>
              </w:rPr>
              <w:t>705,505,113.82</w:t>
            </w:r>
          </w:p>
        </w:tc>
        <w:tc>
          <w:tcPr>
            <w:tcW w:w="845" w:type="pct"/>
            <w:tcBorders>
              <w:top w:val="dotted" w:sz="2" w:space="0" w:color="auto"/>
              <w:bottom w:val="dotted" w:sz="2" w:space="0" w:color="auto"/>
            </w:tcBorders>
            <w:vAlign w:val="center"/>
          </w:tcPr>
          <w:p w:rsidR="00A46EEA" w:rsidRPr="00350437" w:rsidRDefault="0009055B" w:rsidP="0009055B">
            <w:pPr>
              <w:widowControl/>
              <w:rPr>
                <w:rFonts w:ascii="Arial" w:hAnsi="Arial" w:cs="Arial"/>
                <w:b/>
                <w:bCs/>
                <w:color w:val="000000"/>
                <w:szCs w:val="21"/>
              </w:rPr>
            </w:pPr>
            <w:r w:rsidRPr="00350437">
              <w:rPr>
                <w:rFonts w:ascii="Arial" w:hAnsi="Arial" w:cs="Arial"/>
                <w:b/>
                <w:bCs/>
                <w:color w:val="000000"/>
                <w:szCs w:val="21"/>
              </w:rPr>
              <w:t>201,560,420.81</w:t>
            </w:r>
          </w:p>
        </w:tc>
        <w:tc>
          <w:tcPr>
            <w:tcW w:w="571" w:type="pct"/>
            <w:tcBorders>
              <w:top w:val="dotted" w:sz="2" w:space="0" w:color="auto"/>
              <w:bottom w:val="dotted" w:sz="2" w:space="0" w:color="auto"/>
            </w:tcBorders>
            <w:vAlign w:val="center"/>
          </w:tcPr>
          <w:p w:rsidR="00A46EEA" w:rsidRPr="00350437" w:rsidRDefault="00A46EEA" w:rsidP="00816009">
            <w:pPr>
              <w:widowControl/>
              <w:jc w:val="center"/>
              <w:rPr>
                <w:rFonts w:ascii="Arial" w:hAnsi="Arial" w:cs="Arial"/>
                <w:b/>
                <w:bCs/>
                <w:color w:val="000000"/>
                <w:szCs w:val="21"/>
              </w:rPr>
            </w:pPr>
            <w:r w:rsidRPr="00350437">
              <w:rPr>
                <w:rFonts w:ascii="Arial" w:hAnsi="Arial" w:cs="Arial"/>
                <w:b/>
                <w:bCs/>
                <w:color w:val="000000"/>
                <w:szCs w:val="21"/>
              </w:rPr>
              <w:t>/</w:t>
            </w:r>
          </w:p>
        </w:tc>
        <w:tc>
          <w:tcPr>
            <w:tcW w:w="846" w:type="pct"/>
            <w:tcBorders>
              <w:top w:val="dotted" w:sz="2" w:space="0" w:color="auto"/>
              <w:bottom w:val="dotted" w:sz="2" w:space="0" w:color="auto"/>
            </w:tcBorders>
            <w:vAlign w:val="center"/>
          </w:tcPr>
          <w:p w:rsidR="00A46EEA" w:rsidRPr="00350437" w:rsidRDefault="00A46EEA" w:rsidP="00816009">
            <w:pPr>
              <w:widowControl/>
              <w:jc w:val="center"/>
              <w:rPr>
                <w:rFonts w:ascii="Arial" w:hAnsi="Arial" w:cs="Arial"/>
                <w:b/>
                <w:bCs/>
                <w:color w:val="000000"/>
                <w:szCs w:val="21"/>
              </w:rPr>
            </w:pPr>
            <w:r w:rsidRPr="00350437">
              <w:rPr>
                <w:rFonts w:ascii="Arial" w:hAnsi="Arial" w:cs="Arial"/>
                <w:b/>
                <w:bCs/>
                <w:color w:val="000000"/>
                <w:szCs w:val="21"/>
              </w:rPr>
              <w:t>/</w:t>
            </w:r>
          </w:p>
        </w:tc>
      </w:tr>
      <w:tr w:rsidR="00AC00A4" w:rsidRPr="00350437" w:rsidTr="00AC00A4">
        <w:trPr>
          <w:trHeight w:val="425"/>
          <w:jc w:val="center"/>
        </w:trPr>
        <w:tc>
          <w:tcPr>
            <w:tcW w:w="2738" w:type="pct"/>
            <w:gridSpan w:val="3"/>
            <w:shd w:val="clear" w:color="auto" w:fill="DCDCDC"/>
            <w:vAlign w:val="center"/>
          </w:tcPr>
          <w:p w:rsidR="00AC00A4" w:rsidRPr="00350437" w:rsidRDefault="00AC00A4" w:rsidP="0009055B">
            <w:pPr>
              <w:widowControl/>
              <w:rPr>
                <w:rFonts w:ascii="Arial" w:hAnsi="Arial" w:cs="Arial"/>
                <w:color w:val="000000"/>
                <w:szCs w:val="21"/>
              </w:rPr>
            </w:pPr>
            <w:r w:rsidRPr="00350437">
              <w:rPr>
                <w:rFonts w:ascii="Arial" w:hAnsi="Arial" w:cs="Arial" w:hint="eastAsia"/>
                <w:spacing w:val="-2"/>
                <w:szCs w:val="21"/>
              </w:rPr>
              <w:t>临时补充流动资金</w:t>
            </w:r>
          </w:p>
        </w:tc>
        <w:tc>
          <w:tcPr>
            <w:tcW w:w="845" w:type="pct"/>
            <w:tcBorders>
              <w:top w:val="dotted" w:sz="2" w:space="0" w:color="auto"/>
            </w:tcBorders>
            <w:vAlign w:val="center"/>
          </w:tcPr>
          <w:p w:rsidR="00AC00A4" w:rsidRPr="00350437" w:rsidRDefault="00AC00A4" w:rsidP="00816009">
            <w:pPr>
              <w:widowControl/>
              <w:jc w:val="right"/>
              <w:rPr>
                <w:rFonts w:ascii="Arial" w:hAnsi="Arial" w:cs="Arial"/>
                <w:color w:val="000000"/>
                <w:szCs w:val="21"/>
              </w:rPr>
            </w:pPr>
            <w:r w:rsidRPr="00350437">
              <w:rPr>
                <w:rFonts w:ascii="Arial" w:hAnsi="Arial" w:cs="Arial"/>
                <w:color w:val="000000"/>
                <w:szCs w:val="21"/>
              </w:rPr>
              <w:t>16,355,662.47</w:t>
            </w:r>
          </w:p>
        </w:tc>
        <w:tc>
          <w:tcPr>
            <w:tcW w:w="571" w:type="pct"/>
            <w:tcBorders>
              <w:top w:val="dotted" w:sz="2" w:space="0" w:color="auto"/>
            </w:tcBorders>
            <w:vAlign w:val="center"/>
          </w:tcPr>
          <w:p w:rsidR="00AC00A4" w:rsidRPr="00350437" w:rsidRDefault="00AC00A4" w:rsidP="00816009">
            <w:pPr>
              <w:widowControl/>
              <w:jc w:val="center"/>
              <w:rPr>
                <w:rFonts w:ascii="Arial" w:hAnsi="Arial" w:cs="Arial"/>
                <w:color w:val="000000"/>
                <w:szCs w:val="21"/>
              </w:rPr>
            </w:pPr>
            <w:r w:rsidRPr="00350437">
              <w:rPr>
                <w:rFonts w:ascii="Arial" w:hAnsi="Arial" w:cs="Arial" w:hint="eastAsia"/>
                <w:color w:val="000000"/>
                <w:szCs w:val="21"/>
              </w:rPr>
              <w:t>/</w:t>
            </w:r>
          </w:p>
        </w:tc>
        <w:tc>
          <w:tcPr>
            <w:tcW w:w="846" w:type="pct"/>
            <w:tcBorders>
              <w:top w:val="dotted" w:sz="2" w:space="0" w:color="auto"/>
            </w:tcBorders>
            <w:vAlign w:val="center"/>
          </w:tcPr>
          <w:p w:rsidR="00AC00A4" w:rsidRPr="00350437" w:rsidRDefault="00AC00A4" w:rsidP="00816009">
            <w:pPr>
              <w:widowControl/>
              <w:jc w:val="center"/>
              <w:rPr>
                <w:rFonts w:ascii="Arial" w:hAnsi="Arial" w:cs="Arial"/>
                <w:color w:val="000000"/>
                <w:szCs w:val="21"/>
              </w:rPr>
            </w:pPr>
            <w:r w:rsidRPr="00350437">
              <w:rPr>
                <w:rFonts w:ascii="Arial" w:hAnsi="Arial" w:cs="Arial" w:hint="eastAsia"/>
                <w:color w:val="000000"/>
                <w:szCs w:val="21"/>
              </w:rPr>
              <w:t>/</w:t>
            </w:r>
          </w:p>
        </w:tc>
      </w:tr>
    </w:tbl>
    <w:p w:rsidR="00161F79" w:rsidRPr="00350437" w:rsidRDefault="00161F79" w:rsidP="00C62326">
      <w:pPr>
        <w:spacing w:beforeLines="50" w:before="156" w:line="360" w:lineRule="auto"/>
        <w:ind w:firstLine="482"/>
        <w:rPr>
          <w:rFonts w:ascii="Arial" w:eastAsiaTheme="minorEastAsia" w:hAnsi="Arial" w:cs="Arial"/>
          <w:sz w:val="24"/>
          <w:szCs w:val="24"/>
        </w:rPr>
      </w:pPr>
      <w:r w:rsidRPr="00350437">
        <w:rPr>
          <w:rFonts w:ascii="Arial" w:eastAsiaTheme="minorEastAsia" w:hAnsi="Arial" w:cs="Arial" w:hint="eastAsia"/>
          <w:sz w:val="24"/>
          <w:szCs w:val="24"/>
        </w:rPr>
        <w:t>截至</w:t>
      </w:r>
      <w:r w:rsidRPr="00350437">
        <w:rPr>
          <w:rFonts w:ascii="Arial" w:eastAsiaTheme="minorEastAsia" w:hAnsi="Arial" w:cs="Arial"/>
          <w:sz w:val="24"/>
          <w:szCs w:val="24"/>
        </w:rPr>
        <w:t>2025</w:t>
      </w:r>
      <w:r w:rsidRPr="00350437">
        <w:rPr>
          <w:rFonts w:ascii="Arial" w:eastAsiaTheme="minorEastAsia" w:hAnsi="Arial" w:cs="Arial" w:hint="eastAsia"/>
          <w:sz w:val="24"/>
          <w:szCs w:val="24"/>
        </w:rPr>
        <w:t>年</w:t>
      </w:r>
      <w:r w:rsidRPr="00350437">
        <w:rPr>
          <w:rFonts w:ascii="Arial" w:eastAsiaTheme="minorEastAsia" w:hAnsi="Arial" w:cs="Arial"/>
          <w:sz w:val="24"/>
          <w:szCs w:val="24"/>
        </w:rPr>
        <w:t>6</w:t>
      </w:r>
      <w:r w:rsidRPr="00350437">
        <w:rPr>
          <w:rFonts w:ascii="Arial" w:eastAsiaTheme="minorEastAsia" w:hAnsi="Arial" w:cs="Arial" w:hint="eastAsia"/>
          <w:sz w:val="24"/>
          <w:szCs w:val="24"/>
        </w:rPr>
        <w:t>月</w:t>
      </w:r>
      <w:r w:rsidRPr="00350437">
        <w:rPr>
          <w:rFonts w:ascii="Arial" w:eastAsiaTheme="minorEastAsia" w:hAnsi="Arial" w:cs="Arial"/>
          <w:sz w:val="24"/>
          <w:szCs w:val="24"/>
        </w:rPr>
        <w:t>30</w:t>
      </w:r>
      <w:r w:rsidRPr="00350437">
        <w:rPr>
          <w:rFonts w:ascii="Arial" w:eastAsiaTheme="minorEastAsia" w:hAnsi="Arial" w:cs="Arial" w:hint="eastAsia"/>
          <w:sz w:val="24"/>
          <w:szCs w:val="24"/>
        </w:rPr>
        <w:t>日，公司募集资金专项账户的存款余额为</w:t>
      </w:r>
      <w:r w:rsidR="0009055B" w:rsidRPr="00350437">
        <w:rPr>
          <w:rFonts w:ascii="Arial" w:eastAsiaTheme="minorEastAsia" w:hAnsi="Arial" w:cs="Arial"/>
          <w:sz w:val="24"/>
          <w:szCs w:val="24"/>
        </w:rPr>
        <w:t>499,891,926.54</w:t>
      </w:r>
      <w:r w:rsidRPr="00350437">
        <w:rPr>
          <w:rFonts w:ascii="Arial" w:eastAsiaTheme="minorEastAsia" w:hAnsi="Arial" w:cs="Arial" w:hint="eastAsia"/>
          <w:sz w:val="24"/>
          <w:szCs w:val="24"/>
        </w:rPr>
        <w:t>元。</w:t>
      </w:r>
    </w:p>
    <w:p w:rsidR="00706954" w:rsidRPr="00350437" w:rsidRDefault="005042A7" w:rsidP="004A2E99">
      <w:pPr>
        <w:spacing w:beforeLines="25" w:before="78" w:line="360" w:lineRule="auto"/>
        <w:ind w:firstLineChars="200" w:firstLine="482"/>
        <w:outlineLvl w:val="0"/>
        <w:rPr>
          <w:rFonts w:ascii="Arial" w:eastAsiaTheme="minorEastAsia" w:hAnsi="Arial" w:cs="Arial"/>
          <w:b/>
          <w:sz w:val="24"/>
          <w:szCs w:val="24"/>
        </w:rPr>
      </w:pPr>
      <w:r w:rsidRPr="00350437">
        <w:rPr>
          <w:rFonts w:ascii="Arial" w:eastAsiaTheme="minorEastAsia" w:hAnsi="Arial" w:cs="Arial" w:hint="eastAsia"/>
          <w:b/>
          <w:sz w:val="24"/>
          <w:szCs w:val="24"/>
        </w:rPr>
        <w:t>三</w:t>
      </w:r>
      <w:r w:rsidR="00DD5D08" w:rsidRPr="00350437">
        <w:rPr>
          <w:rFonts w:ascii="Arial" w:eastAsiaTheme="minorEastAsia" w:hAnsi="Arial" w:cs="Arial"/>
          <w:b/>
          <w:sz w:val="24"/>
          <w:szCs w:val="24"/>
        </w:rPr>
        <w:t>、募集资金投资项目延期的具体情况及原因</w:t>
      </w:r>
    </w:p>
    <w:p w:rsidR="00706954" w:rsidRPr="00350437" w:rsidRDefault="00161F79" w:rsidP="004A2E99">
      <w:pPr>
        <w:spacing w:beforeLines="25" w:before="78" w:line="360" w:lineRule="auto"/>
        <w:ind w:firstLine="482"/>
        <w:outlineLvl w:val="1"/>
        <w:rPr>
          <w:rFonts w:ascii="Arial" w:eastAsiaTheme="minorEastAsia" w:hAnsi="Arial" w:cs="Arial"/>
          <w:b/>
          <w:sz w:val="24"/>
          <w:szCs w:val="24"/>
        </w:rPr>
      </w:pPr>
      <w:r w:rsidRPr="00350437">
        <w:rPr>
          <w:rFonts w:ascii="Arial" w:eastAsiaTheme="minorEastAsia" w:hAnsi="Arial" w:cs="Arial" w:hint="eastAsia"/>
          <w:b/>
          <w:sz w:val="24"/>
          <w:szCs w:val="24"/>
        </w:rPr>
        <w:t>（一）</w:t>
      </w:r>
      <w:r w:rsidR="00DE5669" w:rsidRPr="00350437">
        <w:rPr>
          <w:rFonts w:ascii="Arial" w:eastAsiaTheme="minorEastAsia" w:hAnsi="Arial" w:cs="Arial" w:hint="eastAsia"/>
          <w:b/>
          <w:sz w:val="24"/>
          <w:szCs w:val="24"/>
        </w:rPr>
        <w:t>延期募集资金投资</w:t>
      </w:r>
      <w:r w:rsidRPr="00350437">
        <w:rPr>
          <w:rFonts w:ascii="Arial" w:eastAsiaTheme="minorEastAsia" w:hAnsi="Arial" w:cs="Arial" w:hint="eastAsia"/>
          <w:b/>
          <w:sz w:val="24"/>
          <w:szCs w:val="24"/>
        </w:rPr>
        <w:t>项目基本情况</w:t>
      </w:r>
    </w:p>
    <w:p w:rsidR="00706954" w:rsidRPr="00350437" w:rsidRDefault="00DE5669">
      <w:pPr>
        <w:spacing w:beforeLines="25" w:before="78" w:line="360" w:lineRule="auto"/>
        <w:ind w:firstLine="482"/>
        <w:rPr>
          <w:rFonts w:ascii="Arial" w:eastAsiaTheme="minorEastAsia" w:hAnsi="Arial" w:cs="Arial"/>
          <w:sz w:val="24"/>
          <w:szCs w:val="24"/>
        </w:rPr>
      </w:pPr>
      <w:r w:rsidRPr="00350437">
        <w:rPr>
          <w:rFonts w:ascii="Arial" w:eastAsiaTheme="minorEastAsia" w:hAnsi="Arial" w:cs="Arial" w:hint="eastAsia"/>
          <w:sz w:val="24"/>
          <w:szCs w:val="24"/>
        </w:rPr>
        <w:t>本次拟延期的募集资金投资项目为“宝色（南通）高端特材装备智能制造项目”。</w:t>
      </w:r>
      <w:r w:rsidR="00161F79" w:rsidRPr="00350437">
        <w:rPr>
          <w:rFonts w:ascii="Arial" w:eastAsiaTheme="minorEastAsia" w:hAnsi="Arial" w:cs="Arial" w:hint="eastAsia"/>
          <w:sz w:val="24"/>
          <w:szCs w:val="24"/>
        </w:rPr>
        <w:t>本项目实施主体为公司全资子公司宝色（南通）装备有限公司。计划投资总额</w:t>
      </w:r>
      <w:r w:rsidR="00161F79" w:rsidRPr="00350437">
        <w:rPr>
          <w:rFonts w:ascii="Arial" w:eastAsiaTheme="minorEastAsia" w:hAnsi="Arial" w:cs="Arial"/>
          <w:sz w:val="24"/>
          <w:szCs w:val="24"/>
        </w:rPr>
        <w:t>34,627.09</w:t>
      </w:r>
      <w:r w:rsidR="00161F79" w:rsidRPr="00350437">
        <w:rPr>
          <w:rFonts w:ascii="Arial" w:eastAsiaTheme="minorEastAsia" w:hAnsi="Arial" w:cs="Arial" w:hint="eastAsia"/>
          <w:sz w:val="24"/>
          <w:szCs w:val="24"/>
        </w:rPr>
        <w:t>万元，主要用于购置生产设备，其中使用募集资金</w:t>
      </w:r>
      <w:r w:rsidR="00161F79" w:rsidRPr="00350437">
        <w:rPr>
          <w:rFonts w:ascii="Arial" w:eastAsiaTheme="minorEastAsia" w:hAnsi="Arial" w:cs="Arial"/>
          <w:sz w:val="24"/>
          <w:szCs w:val="24"/>
        </w:rPr>
        <w:t>28,400</w:t>
      </w:r>
      <w:r w:rsidR="00161F79" w:rsidRPr="00350437">
        <w:rPr>
          <w:rFonts w:ascii="Arial" w:eastAsiaTheme="minorEastAsia" w:hAnsi="Arial" w:cs="Arial" w:hint="eastAsia"/>
          <w:sz w:val="24"/>
          <w:szCs w:val="24"/>
        </w:rPr>
        <w:t>万元。项目建设期</w:t>
      </w:r>
      <w:r w:rsidR="00161F79" w:rsidRPr="00350437">
        <w:rPr>
          <w:rFonts w:ascii="Arial" w:eastAsiaTheme="minorEastAsia" w:hAnsi="Arial" w:cs="Arial"/>
          <w:sz w:val="24"/>
          <w:szCs w:val="24"/>
        </w:rPr>
        <w:t>1</w:t>
      </w:r>
      <w:r w:rsidR="00161F79" w:rsidRPr="00350437">
        <w:rPr>
          <w:rFonts w:ascii="Arial" w:eastAsiaTheme="minorEastAsia" w:hAnsi="Arial" w:cs="Arial" w:hint="eastAsia"/>
          <w:sz w:val="24"/>
          <w:szCs w:val="24"/>
        </w:rPr>
        <w:t>年，建成达产后，将形成年产</w:t>
      </w:r>
      <w:r w:rsidR="00161F79" w:rsidRPr="00350437">
        <w:rPr>
          <w:rFonts w:ascii="Arial" w:eastAsiaTheme="minorEastAsia" w:hAnsi="Arial" w:cs="Arial"/>
          <w:sz w:val="24"/>
          <w:szCs w:val="24"/>
        </w:rPr>
        <w:t>21,000</w:t>
      </w:r>
      <w:r w:rsidR="00161F79" w:rsidRPr="00350437">
        <w:rPr>
          <w:rFonts w:ascii="Arial" w:eastAsiaTheme="minorEastAsia" w:hAnsi="Arial" w:cs="Arial" w:hint="eastAsia"/>
          <w:sz w:val="24"/>
          <w:szCs w:val="24"/>
        </w:rPr>
        <w:t>吨高端大型特材非标装备的生产能力。</w:t>
      </w:r>
    </w:p>
    <w:p w:rsidR="00706954" w:rsidRPr="00350437" w:rsidRDefault="00161F79">
      <w:pPr>
        <w:spacing w:beforeLines="25" w:before="78" w:line="360" w:lineRule="auto"/>
        <w:ind w:firstLine="482"/>
        <w:rPr>
          <w:rFonts w:ascii="Arial" w:eastAsiaTheme="minorEastAsia" w:hAnsi="Arial" w:cs="Arial"/>
          <w:sz w:val="24"/>
          <w:szCs w:val="24"/>
        </w:rPr>
      </w:pPr>
      <w:r w:rsidRPr="00350437">
        <w:rPr>
          <w:rFonts w:ascii="Arial" w:eastAsiaTheme="minorEastAsia" w:hAnsi="Arial" w:cs="Arial" w:hint="eastAsia"/>
          <w:sz w:val="24"/>
          <w:szCs w:val="24"/>
        </w:rPr>
        <w:t>根据公司于</w:t>
      </w:r>
      <w:r w:rsidRPr="00350437">
        <w:rPr>
          <w:rFonts w:ascii="Arial" w:eastAsiaTheme="minorEastAsia" w:hAnsi="Arial" w:cs="Arial"/>
          <w:sz w:val="24"/>
          <w:szCs w:val="24"/>
        </w:rPr>
        <w:t>2021</w:t>
      </w:r>
      <w:r w:rsidRPr="00350437">
        <w:rPr>
          <w:rFonts w:ascii="Arial" w:eastAsiaTheme="minorEastAsia" w:hAnsi="Arial" w:cs="Arial" w:hint="eastAsia"/>
          <w:sz w:val="24"/>
          <w:szCs w:val="24"/>
        </w:rPr>
        <w:t>年</w:t>
      </w:r>
      <w:r w:rsidRPr="00350437">
        <w:rPr>
          <w:rFonts w:ascii="Arial" w:eastAsiaTheme="minorEastAsia" w:hAnsi="Arial" w:cs="Arial"/>
          <w:sz w:val="24"/>
          <w:szCs w:val="24"/>
        </w:rPr>
        <w:t>10</w:t>
      </w:r>
      <w:r w:rsidRPr="00350437">
        <w:rPr>
          <w:rFonts w:ascii="Arial" w:eastAsiaTheme="minorEastAsia" w:hAnsi="Arial" w:cs="Arial" w:hint="eastAsia"/>
          <w:sz w:val="24"/>
          <w:szCs w:val="24"/>
        </w:rPr>
        <w:t>月与江苏省通州湾江海联动开发示范区管委会（以下简称“通州湾管委会”）、南通博峰私募基金管理有限公司（以下简称“博峰私募基金”）签订的《通州湾超限装备制造基地项目合作协议》（以下简称“《项目合作协议》”），该项目由通州湾管委会与博峰私募基金成立的专项基金设立的项目公司负责厂房和码头的建设，公司在南通设立全资子公司负责租赁上述固定设施并投入生产设备组织生产运营。</w:t>
      </w:r>
    </w:p>
    <w:p w:rsidR="00706954" w:rsidRPr="00350437" w:rsidRDefault="00161F79">
      <w:pPr>
        <w:spacing w:beforeLines="25" w:before="78" w:line="360" w:lineRule="auto"/>
        <w:ind w:firstLine="482"/>
        <w:rPr>
          <w:rFonts w:ascii="Arial" w:eastAsiaTheme="minorEastAsia" w:hAnsi="Arial" w:cs="Arial"/>
          <w:sz w:val="24"/>
          <w:szCs w:val="24"/>
        </w:rPr>
      </w:pPr>
      <w:r w:rsidRPr="00350437">
        <w:rPr>
          <w:rFonts w:ascii="Arial" w:eastAsiaTheme="minorEastAsia" w:hAnsi="Arial" w:cs="Arial" w:hint="eastAsia"/>
          <w:sz w:val="24"/>
          <w:szCs w:val="24"/>
        </w:rPr>
        <w:t>通州湾管委会与博峰私募基金成立的专项基金设立的项目公司南通宝通装备制造有限公司于</w:t>
      </w:r>
      <w:r w:rsidRPr="00350437">
        <w:rPr>
          <w:rFonts w:ascii="Arial" w:eastAsiaTheme="minorEastAsia" w:hAnsi="Arial" w:cs="Arial"/>
          <w:sz w:val="24"/>
          <w:szCs w:val="24"/>
        </w:rPr>
        <w:t>2022</w:t>
      </w:r>
      <w:r w:rsidRPr="00350437">
        <w:rPr>
          <w:rFonts w:ascii="Arial" w:eastAsiaTheme="minorEastAsia" w:hAnsi="Arial" w:cs="Arial" w:hint="eastAsia"/>
          <w:sz w:val="24"/>
          <w:szCs w:val="24"/>
        </w:rPr>
        <w:t>年</w:t>
      </w:r>
      <w:r w:rsidRPr="00350437">
        <w:rPr>
          <w:rFonts w:ascii="Arial" w:eastAsiaTheme="minorEastAsia" w:hAnsi="Arial" w:cs="Arial"/>
          <w:sz w:val="24"/>
          <w:szCs w:val="24"/>
        </w:rPr>
        <w:t>1</w:t>
      </w:r>
      <w:r w:rsidRPr="00350437">
        <w:rPr>
          <w:rFonts w:ascii="Arial" w:eastAsiaTheme="minorEastAsia" w:hAnsi="Arial" w:cs="Arial" w:hint="eastAsia"/>
          <w:sz w:val="24"/>
          <w:szCs w:val="24"/>
        </w:rPr>
        <w:t>月在南通通州湾行政审批局完成注册登记，公司全资子公司宝色（南通）装备有限公司于</w:t>
      </w:r>
      <w:r w:rsidRPr="00350437">
        <w:rPr>
          <w:rFonts w:ascii="Arial" w:eastAsiaTheme="minorEastAsia" w:hAnsi="Arial" w:cs="Arial"/>
          <w:sz w:val="24"/>
          <w:szCs w:val="24"/>
        </w:rPr>
        <w:t>2022</w:t>
      </w:r>
      <w:r w:rsidRPr="00350437">
        <w:rPr>
          <w:rFonts w:ascii="Arial" w:eastAsiaTheme="minorEastAsia" w:hAnsi="Arial" w:cs="Arial" w:hint="eastAsia"/>
          <w:sz w:val="24"/>
          <w:szCs w:val="24"/>
        </w:rPr>
        <w:t>年</w:t>
      </w:r>
      <w:r w:rsidRPr="00350437">
        <w:rPr>
          <w:rFonts w:ascii="Arial" w:eastAsiaTheme="minorEastAsia" w:hAnsi="Arial" w:cs="Arial"/>
          <w:sz w:val="24"/>
          <w:szCs w:val="24"/>
        </w:rPr>
        <w:t>7</w:t>
      </w:r>
      <w:r w:rsidRPr="00350437">
        <w:rPr>
          <w:rFonts w:ascii="Arial" w:eastAsiaTheme="minorEastAsia" w:hAnsi="Arial" w:cs="Arial" w:hint="eastAsia"/>
          <w:sz w:val="24"/>
          <w:szCs w:val="24"/>
        </w:rPr>
        <w:t>月在南通通州湾行政审批局完成注册登记。</w:t>
      </w:r>
    </w:p>
    <w:p w:rsidR="00706954" w:rsidRPr="00350437" w:rsidRDefault="00161F79">
      <w:pPr>
        <w:spacing w:beforeLines="25" w:before="78" w:line="360" w:lineRule="auto"/>
        <w:ind w:firstLine="482"/>
        <w:rPr>
          <w:rFonts w:ascii="Arial" w:eastAsiaTheme="minorEastAsia" w:hAnsi="Arial" w:cs="Arial"/>
          <w:sz w:val="24"/>
          <w:szCs w:val="24"/>
        </w:rPr>
      </w:pPr>
      <w:r w:rsidRPr="00350437">
        <w:rPr>
          <w:rFonts w:ascii="Arial" w:eastAsiaTheme="minorEastAsia" w:hAnsi="Arial" w:cs="Arial" w:hint="eastAsia"/>
          <w:sz w:val="24"/>
          <w:szCs w:val="24"/>
        </w:rPr>
        <w:t>该项目于</w:t>
      </w:r>
      <w:r w:rsidRPr="00350437">
        <w:rPr>
          <w:rFonts w:ascii="Arial" w:eastAsiaTheme="minorEastAsia" w:hAnsi="Arial" w:cs="Arial"/>
          <w:sz w:val="24"/>
          <w:szCs w:val="24"/>
        </w:rPr>
        <w:t>2022</w:t>
      </w:r>
      <w:r w:rsidRPr="00350437">
        <w:rPr>
          <w:rFonts w:ascii="Arial" w:eastAsiaTheme="minorEastAsia" w:hAnsi="Arial" w:cs="Arial" w:hint="eastAsia"/>
          <w:sz w:val="24"/>
          <w:szCs w:val="24"/>
        </w:rPr>
        <w:t>年</w:t>
      </w:r>
      <w:r w:rsidRPr="00350437">
        <w:rPr>
          <w:rFonts w:ascii="Arial" w:eastAsiaTheme="minorEastAsia" w:hAnsi="Arial" w:cs="Arial"/>
          <w:sz w:val="24"/>
          <w:szCs w:val="24"/>
        </w:rPr>
        <w:t>8</w:t>
      </w:r>
      <w:r w:rsidRPr="00350437">
        <w:rPr>
          <w:rFonts w:ascii="Arial" w:eastAsiaTheme="minorEastAsia" w:hAnsi="Arial" w:cs="Arial" w:hint="eastAsia"/>
          <w:sz w:val="24"/>
          <w:szCs w:val="24"/>
        </w:rPr>
        <w:t>月获得江苏省通州湾江海联动开发示范区行政审批局核发的《江苏省投资项目备案证》，于</w:t>
      </w:r>
      <w:r w:rsidRPr="00350437">
        <w:rPr>
          <w:rFonts w:ascii="Arial" w:eastAsiaTheme="minorEastAsia" w:hAnsi="Arial" w:cs="Arial"/>
          <w:sz w:val="24"/>
          <w:szCs w:val="24"/>
        </w:rPr>
        <w:t>2023</w:t>
      </w:r>
      <w:r w:rsidRPr="00350437">
        <w:rPr>
          <w:rFonts w:ascii="Arial" w:eastAsiaTheme="minorEastAsia" w:hAnsi="Arial" w:cs="Arial" w:hint="eastAsia"/>
          <w:sz w:val="24"/>
          <w:szCs w:val="24"/>
        </w:rPr>
        <w:t>年</w:t>
      </w:r>
      <w:r w:rsidRPr="00350437">
        <w:rPr>
          <w:rFonts w:ascii="Arial" w:eastAsiaTheme="minorEastAsia" w:hAnsi="Arial" w:cs="Arial"/>
          <w:sz w:val="24"/>
          <w:szCs w:val="24"/>
        </w:rPr>
        <w:t>3</w:t>
      </w:r>
      <w:r w:rsidRPr="00350437">
        <w:rPr>
          <w:rFonts w:ascii="Arial" w:eastAsiaTheme="minorEastAsia" w:hAnsi="Arial" w:cs="Arial" w:hint="eastAsia"/>
          <w:sz w:val="24"/>
          <w:szCs w:val="24"/>
        </w:rPr>
        <w:t>月取得南通市环境保护局出具的相关环评批复。</w:t>
      </w:r>
    </w:p>
    <w:p w:rsidR="00706954" w:rsidRPr="00350437" w:rsidRDefault="00AC6862">
      <w:pPr>
        <w:spacing w:beforeLines="25" w:before="78" w:line="360" w:lineRule="auto"/>
        <w:ind w:firstLine="482"/>
        <w:rPr>
          <w:rFonts w:ascii="Arial" w:eastAsiaTheme="minorEastAsia" w:hAnsi="Arial" w:cs="Arial"/>
          <w:sz w:val="24"/>
          <w:szCs w:val="24"/>
        </w:rPr>
      </w:pPr>
      <w:r w:rsidRPr="00350437">
        <w:rPr>
          <w:rFonts w:ascii="Arial" w:eastAsiaTheme="minorEastAsia" w:hAnsi="Arial" w:cs="Arial" w:hint="eastAsia"/>
          <w:sz w:val="24"/>
          <w:szCs w:val="24"/>
        </w:rPr>
        <w:t>公司于</w:t>
      </w:r>
      <w:r w:rsidRPr="00350437">
        <w:rPr>
          <w:rFonts w:ascii="Arial" w:eastAsiaTheme="minorEastAsia" w:hAnsi="Arial" w:cs="Arial" w:hint="eastAsia"/>
          <w:sz w:val="24"/>
          <w:szCs w:val="24"/>
        </w:rPr>
        <w:t>2023</w:t>
      </w:r>
      <w:r w:rsidRPr="00350437">
        <w:rPr>
          <w:rFonts w:ascii="Arial" w:eastAsiaTheme="minorEastAsia" w:hAnsi="Arial" w:cs="Arial" w:hint="eastAsia"/>
          <w:sz w:val="24"/>
          <w:szCs w:val="24"/>
        </w:rPr>
        <w:t>年</w:t>
      </w:r>
      <w:r w:rsidRPr="00350437">
        <w:rPr>
          <w:rFonts w:ascii="Arial" w:eastAsiaTheme="minorEastAsia" w:hAnsi="Arial" w:cs="Arial" w:hint="eastAsia"/>
          <w:sz w:val="24"/>
          <w:szCs w:val="24"/>
        </w:rPr>
        <w:t>7</w:t>
      </w:r>
      <w:r w:rsidRPr="00350437">
        <w:rPr>
          <w:rFonts w:ascii="Arial" w:eastAsiaTheme="minorEastAsia" w:hAnsi="Arial" w:cs="Arial" w:hint="eastAsia"/>
          <w:sz w:val="24"/>
          <w:szCs w:val="24"/>
        </w:rPr>
        <w:t>月完成</w:t>
      </w:r>
      <w:r w:rsidRPr="00350437">
        <w:rPr>
          <w:rFonts w:ascii="Arial" w:eastAsiaTheme="minorEastAsia" w:hAnsi="Arial" w:cs="Arial" w:hint="eastAsia"/>
          <w:sz w:val="24"/>
          <w:szCs w:val="24"/>
        </w:rPr>
        <w:t>2022</w:t>
      </w:r>
      <w:r w:rsidRPr="00350437">
        <w:rPr>
          <w:rFonts w:ascii="Arial" w:eastAsiaTheme="minorEastAsia" w:hAnsi="Arial" w:cs="Arial" w:hint="eastAsia"/>
          <w:sz w:val="24"/>
          <w:szCs w:val="24"/>
        </w:rPr>
        <w:t>年度向特定对象发行股票工作，募集资金到账。在此之前，政府投资建设厂房项目已完成了项目备案，规划方案通过了相关部门审查，获得了项目用海许可（待缴纳海域使用金后办理海域使用权证）、通过了环境影响评价，完成了地勘报告编制，且地基强夯工程已完工。与此同时，公司综合考量设备对厂房建设的影响、设备安装基础要求及设备定制周期等多方面因素，完成了设备选型和方案规划工作。</w:t>
      </w:r>
    </w:p>
    <w:p w:rsidR="00706954" w:rsidRPr="00350437" w:rsidRDefault="00DE5669" w:rsidP="004A2E99">
      <w:pPr>
        <w:spacing w:beforeLines="25" w:before="78" w:line="360" w:lineRule="auto"/>
        <w:ind w:firstLineChars="200" w:firstLine="482"/>
        <w:outlineLvl w:val="1"/>
        <w:rPr>
          <w:rFonts w:ascii="Arial" w:eastAsiaTheme="minorEastAsia" w:hAnsi="Arial" w:cs="Arial"/>
          <w:b/>
          <w:sz w:val="24"/>
          <w:szCs w:val="24"/>
        </w:rPr>
      </w:pPr>
      <w:r w:rsidRPr="00350437">
        <w:rPr>
          <w:rFonts w:ascii="Arial" w:eastAsiaTheme="minorEastAsia" w:hAnsi="Arial" w:cs="Arial" w:hint="eastAsia"/>
          <w:b/>
          <w:sz w:val="24"/>
          <w:szCs w:val="24"/>
        </w:rPr>
        <w:t>（二）募集资金投资项目延期情况</w:t>
      </w:r>
    </w:p>
    <w:p w:rsidR="00DE5669" w:rsidRPr="00350437" w:rsidRDefault="00DE5669" w:rsidP="00DE5669">
      <w:pPr>
        <w:autoSpaceDE w:val="0"/>
        <w:autoSpaceDN w:val="0"/>
        <w:spacing w:line="360" w:lineRule="auto"/>
        <w:ind w:firstLine="641"/>
        <w:rPr>
          <w:rFonts w:ascii="Arial" w:eastAsiaTheme="minorEastAsia" w:hAnsi="Arial" w:cs="Arial"/>
          <w:sz w:val="24"/>
          <w:szCs w:val="24"/>
        </w:rPr>
      </w:pPr>
      <w:r w:rsidRPr="00350437">
        <w:rPr>
          <w:rFonts w:ascii="Arial" w:eastAsiaTheme="minorEastAsia" w:hAnsi="Arial" w:cs="Arial" w:hint="eastAsia"/>
          <w:sz w:val="24"/>
          <w:szCs w:val="24"/>
        </w:rPr>
        <w:t>公司募集资金投资项目“</w:t>
      </w:r>
      <w:r w:rsidR="00FC20B4" w:rsidRPr="00350437">
        <w:rPr>
          <w:rFonts w:ascii="Arial" w:eastAsiaTheme="minorEastAsia" w:hAnsi="Arial" w:cs="Arial" w:hint="eastAsia"/>
          <w:sz w:val="24"/>
          <w:szCs w:val="24"/>
        </w:rPr>
        <w:t>宝色（南通）高端特材装备智能制造项目”原预计达到可使用状态的时间</w:t>
      </w:r>
      <w:r w:rsidRPr="00350437">
        <w:rPr>
          <w:rFonts w:ascii="Arial" w:eastAsiaTheme="minorEastAsia" w:hAnsi="Arial" w:cs="Arial" w:hint="eastAsia"/>
          <w:sz w:val="24"/>
          <w:szCs w:val="24"/>
        </w:rPr>
        <w:t>为</w:t>
      </w:r>
      <w:r w:rsidRPr="00350437">
        <w:rPr>
          <w:rFonts w:ascii="Arial" w:eastAsiaTheme="minorEastAsia" w:hAnsi="Arial" w:cs="Arial"/>
          <w:sz w:val="24"/>
          <w:szCs w:val="24"/>
        </w:rPr>
        <w:t>2025</w:t>
      </w:r>
      <w:r w:rsidRPr="00350437">
        <w:rPr>
          <w:rFonts w:ascii="Arial" w:eastAsiaTheme="minorEastAsia" w:hAnsi="Arial" w:cs="Arial" w:hint="eastAsia"/>
          <w:sz w:val="24"/>
          <w:szCs w:val="24"/>
        </w:rPr>
        <w:t>年</w:t>
      </w:r>
      <w:r w:rsidRPr="00350437">
        <w:rPr>
          <w:rFonts w:ascii="Arial" w:eastAsiaTheme="minorEastAsia" w:hAnsi="Arial" w:cs="Arial"/>
          <w:sz w:val="24"/>
          <w:szCs w:val="24"/>
        </w:rPr>
        <w:t>8</w:t>
      </w:r>
      <w:r w:rsidRPr="00350437">
        <w:rPr>
          <w:rFonts w:ascii="Arial" w:eastAsiaTheme="minorEastAsia" w:hAnsi="Arial" w:cs="Arial" w:hint="eastAsia"/>
          <w:sz w:val="24"/>
          <w:szCs w:val="24"/>
        </w:rPr>
        <w:t>月，截至目前尚未投入使用募集资金，基于该项目的实际</w:t>
      </w:r>
      <w:r w:rsidR="00FC20B4" w:rsidRPr="00350437">
        <w:rPr>
          <w:rFonts w:ascii="Arial" w:eastAsiaTheme="minorEastAsia" w:hAnsi="Arial" w:cs="Arial" w:hint="eastAsia"/>
          <w:sz w:val="24"/>
          <w:szCs w:val="24"/>
        </w:rPr>
        <w:t>推进情况，经过审慎研究与论证，公司拟将该项目的预计可使用状态时间</w:t>
      </w:r>
      <w:r w:rsidRPr="00350437">
        <w:rPr>
          <w:rFonts w:ascii="Arial" w:eastAsiaTheme="minorEastAsia" w:hAnsi="Arial" w:cs="Arial" w:hint="eastAsia"/>
          <w:sz w:val="24"/>
          <w:szCs w:val="24"/>
        </w:rPr>
        <w:t>由</w:t>
      </w:r>
      <w:r w:rsidRPr="00350437">
        <w:rPr>
          <w:rFonts w:ascii="Arial" w:eastAsiaTheme="minorEastAsia" w:hAnsi="Arial" w:cs="Arial"/>
          <w:sz w:val="24"/>
          <w:szCs w:val="24"/>
        </w:rPr>
        <w:t>2025</w:t>
      </w:r>
      <w:r w:rsidRPr="00350437">
        <w:rPr>
          <w:rFonts w:ascii="Arial" w:eastAsiaTheme="minorEastAsia" w:hAnsi="Arial" w:cs="Arial" w:hint="eastAsia"/>
          <w:sz w:val="24"/>
          <w:szCs w:val="24"/>
        </w:rPr>
        <w:t>年</w:t>
      </w:r>
      <w:r w:rsidRPr="00350437">
        <w:rPr>
          <w:rFonts w:ascii="Arial" w:eastAsiaTheme="minorEastAsia" w:hAnsi="Arial" w:cs="Arial"/>
          <w:sz w:val="24"/>
          <w:szCs w:val="24"/>
        </w:rPr>
        <w:t>8</w:t>
      </w:r>
      <w:r w:rsidR="00FC20B4" w:rsidRPr="00350437">
        <w:rPr>
          <w:rFonts w:ascii="Arial" w:eastAsiaTheme="minorEastAsia" w:hAnsi="Arial" w:cs="Arial" w:hint="eastAsia"/>
          <w:sz w:val="24"/>
          <w:szCs w:val="24"/>
        </w:rPr>
        <w:t>月延期</w:t>
      </w:r>
      <w:r w:rsidRPr="00350437">
        <w:rPr>
          <w:rFonts w:ascii="Arial" w:eastAsiaTheme="minorEastAsia" w:hAnsi="Arial" w:cs="Arial" w:hint="eastAsia"/>
          <w:sz w:val="24"/>
          <w:szCs w:val="24"/>
        </w:rPr>
        <w:t>至</w:t>
      </w:r>
      <w:r w:rsidRPr="00350437">
        <w:rPr>
          <w:rFonts w:ascii="Arial" w:eastAsiaTheme="minorEastAsia" w:hAnsi="Arial" w:cs="Arial"/>
          <w:sz w:val="24"/>
          <w:szCs w:val="24"/>
        </w:rPr>
        <w:t>2028</w:t>
      </w:r>
      <w:r w:rsidRPr="00350437">
        <w:rPr>
          <w:rFonts w:ascii="Arial" w:eastAsiaTheme="minorEastAsia" w:hAnsi="Arial" w:cs="Arial" w:hint="eastAsia"/>
          <w:sz w:val="24"/>
          <w:szCs w:val="24"/>
        </w:rPr>
        <w:t>年</w:t>
      </w:r>
      <w:r w:rsidR="00680A92" w:rsidRPr="00350437">
        <w:rPr>
          <w:rFonts w:ascii="Arial" w:eastAsiaTheme="minorEastAsia" w:hAnsi="Arial" w:cs="Arial"/>
          <w:sz w:val="24"/>
          <w:szCs w:val="24"/>
        </w:rPr>
        <w:t>12</w:t>
      </w:r>
      <w:r w:rsidRPr="00350437">
        <w:rPr>
          <w:rFonts w:ascii="Arial" w:eastAsiaTheme="minorEastAsia" w:hAnsi="Arial" w:cs="Arial" w:hint="eastAsia"/>
          <w:sz w:val="24"/>
          <w:szCs w:val="24"/>
        </w:rPr>
        <w:t>月。</w:t>
      </w:r>
    </w:p>
    <w:p w:rsidR="00161F79" w:rsidRPr="00350437" w:rsidRDefault="00161F79" w:rsidP="004A2E99">
      <w:pPr>
        <w:autoSpaceDE w:val="0"/>
        <w:autoSpaceDN w:val="0"/>
        <w:spacing w:beforeLines="25" w:before="78" w:line="360" w:lineRule="auto"/>
        <w:ind w:firstLine="641"/>
        <w:outlineLvl w:val="1"/>
        <w:rPr>
          <w:rFonts w:ascii="Arial" w:eastAsiaTheme="minorEastAsia" w:hAnsi="Arial" w:cs="Arial"/>
          <w:b/>
          <w:sz w:val="24"/>
          <w:szCs w:val="24"/>
        </w:rPr>
      </w:pPr>
      <w:r w:rsidRPr="00350437">
        <w:rPr>
          <w:rFonts w:ascii="Arial" w:eastAsiaTheme="minorEastAsia" w:hAnsi="Arial" w:cs="Arial" w:hint="eastAsia"/>
          <w:b/>
          <w:sz w:val="24"/>
          <w:szCs w:val="24"/>
        </w:rPr>
        <w:t>（三）</w:t>
      </w:r>
      <w:r w:rsidR="00DE5669" w:rsidRPr="00350437">
        <w:rPr>
          <w:rFonts w:ascii="Arial" w:eastAsiaTheme="minorEastAsia" w:hAnsi="Arial" w:cs="Arial" w:hint="eastAsia"/>
          <w:b/>
          <w:sz w:val="24"/>
          <w:szCs w:val="24"/>
        </w:rPr>
        <w:t>募集资金投资</w:t>
      </w:r>
      <w:r w:rsidRPr="00350437">
        <w:rPr>
          <w:rFonts w:ascii="Arial" w:eastAsiaTheme="minorEastAsia" w:hAnsi="Arial" w:cs="Arial" w:hint="eastAsia"/>
          <w:b/>
          <w:sz w:val="24"/>
          <w:szCs w:val="24"/>
        </w:rPr>
        <w:t>项目延期的原因</w:t>
      </w:r>
    </w:p>
    <w:p w:rsidR="00161F79" w:rsidRPr="00350437" w:rsidRDefault="00161F79" w:rsidP="00161F79">
      <w:pPr>
        <w:autoSpaceDE w:val="0"/>
        <w:autoSpaceDN w:val="0"/>
        <w:spacing w:line="360" w:lineRule="auto"/>
        <w:ind w:firstLine="641"/>
        <w:rPr>
          <w:rFonts w:ascii="Arial" w:eastAsiaTheme="minorEastAsia" w:hAnsi="Arial" w:cs="Arial"/>
          <w:sz w:val="24"/>
          <w:szCs w:val="24"/>
        </w:rPr>
      </w:pPr>
      <w:r w:rsidRPr="00350437">
        <w:rPr>
          <w:rFonts w:ascii="Arial" w:eastAsiaTheme="minorEastAsia" w:hAnsi="Arial" w:cs="Arial" w:hint="eastAsia"/>
          <w:sz w:val="24"/>
          <w:szCs w:val="24"/>
        </w:rPr>
        <w:t>在项目推进过程中，受国家相关政策因素影响，通州湾管委会无法按照《项目合作协议》中的约定推进项目厂房和码头的建设工作，导致项目失去了继续建设的基础条件。面对新的发展形势，为保障项目顺利建设，双方积极探索符合项目建设的合作模式，包括通州湾管委会帮助寻找多家投资单位、设计投资方案等举措，但最终因多方面因素未能达成共识。同时，为实现项目投资效益最大化，对产业项目再复盘再优化，公司从项目投资成本、运营成本、后续管理、员工招聘、资质获取等维度进行了进一步深入调研与论证。自</w:t>
      </w:r>
      <w:r w:rsidRPr="00350437">
        <w:rPr>
          <w:rFonts w:ascii="Arial" w:eastAsiaTheme="minorEastAsia" w:hAnsi="Arial" w:cs="Arial"/>
          <w:sz w:val="24"/>
          <w:szCs w:val="24"/>
        </w:rPr>
        <w:t>2024</w:t>
      </w:r>
      <w:r w:rsidR="00D05B38" w:rsidRPr="00350437">
        <w:rPr>
          <w:rFonts w:ascii="Arial" w:eastAsiaTheme="minorEastAsia" w:hAnsi="Arial" w:cs="Arial" w:hint="eastAsia"/>
          <w:sz w:val="24"/>
          <w:szCs w:val="24"/>
        </w:rPr>
        <w:t>年初起，公司与</w:t>
      </w:r>
      <w:r w:rsidRPr="00350437">
        <w:rPr>
          <w:rFonts w:ascii="Arial" w:eastAsiaTheme="minorEastAsia" w:hAnsi="Arial" w:cs="Arial" w:hint="eastAsia"/>
          <w:sz w:val="24"/>
          <w:szCs w:val="24"/>
        </w:rPr>
        <w:t>多家临海或临江开发区的招商部门开展了多轮沟通与实地考察，希望能够获取合适地块开展协商，尽可能在契合公司发展战略且不偏离原建设方案框架的基础上推进项目建设。目前此项工作</w:t>
      </w:r>
      <w:r w:rsidR="00EE7DD6" w:rsidRPr="00350437">
        <w:rPr>
          <w:rFonts w:ascii="Arial" w:eastAsiaTheme="minorEastAsia" w:hAnsi="Arial" w:cs="Arial" w:hint="eastAsia"/>
          <w:sz w:val="24"/>
          <w:szCs w:val="24"/>
        </w:rPr>
        <w:t>正</w:t>
      </w:r>
      <w:r w:rsidRPr="00350437">
        <w:rPr>
          <w:rFonts w:ascii="Arial" w:eastAsiaTheme="minorEastAsia" w:hAnsi="Arial" w:cs="Arial" w:hint="eastAsia"/>
          <w:sz w:val="24"/>
          <w:szCs w:val="24"/>
        </w:rPr>
        <w:t>在有序推进。</w:t>
      </w:r>
    </w:p>
    <w:p w:rsidR="00161F79" w:rsidRPr="00350437" w:rsidRDefault="00161F79" w:rsidP="00161F79">
      <w:pPr>
        <w:autoSpaceDE w:val="0"/>
        <w:autoSpaceDN w:val="0"/>
        <w:spacing w:line="360" w:lineRule="auto"/>
        <w:ind w:firstLine="641"/>
        <w:rPr>
          <w:rFonts w:ascii="Arial" w:eastAsiaTheme="minorEastAsia" w:hAnsi="Arial" w:cs="Arial"/>
          <w:sz w:val="24"/>
          <w:szCs w:val="24"/>
        </w:rPr>
      </w:pPr>
      <w:r w:rsidRPr="00350437">
        <w:rPr>
          <w:rFonts w:ascii="Arial" w:eastAsiaTheme="minorEastAsia" w:hAnsi="Arial" w:cs="Arial" w:hint="eastAsia"/>
          <w:sz w:val="24"/>
          <w:szCs w:val="24"/>
        </w:rPr>
        <w:t>经综合考量项目现状及实际推进情况，</w:t>
      </w:r>
      <w:r w:rsidR="00FC20B4" w:rsidRPr="00350437">
        <w:rPr>
          <w:rFonts w:ascii="Arial" w:eastAsiaTheme="minorEastAsia" w:hAnsi="Arial" w:cs="Arial" w:hint="eastAsia"/>
          <w:sz w:val="24"/>
          <w:szCs w:val="24"/>
        </w:rPr>
        <w:t>公司后续</w:t>
      </w:r>
      <w:r w:rsidR="00680A92" w:rsidRPr="00350437">
        <w:rPr>
          <w:rFonts w:ascii="Arial" w:eastAsiaTheme="minorEastAsia" w:hAnsi="Arial" w:cs="Arial" w:hint="eastAsia"/>
          <w:sz w:val="24"/>
          <w:szCs w:val="24"/>
        </w:rPr>
        <w:t>拟</w:t>
      </w:r>
      <w:r w:rsidR="00FC20B4" w:rsidRPr="00350437">
        <w:rPr>
          <w:rFonts w:ascii="Arial" w:eastAsiaTheme="minorEastAsia" w:hAnsi="Arial" w:cs="Arial" w:hint="eastAsia"/>
          <w:sz w:val="24"/>
          <w:szCs w:val="24"/>
        </w:rPr>
        <w:t>对该项目进行变更，</w:t>
      </w:r>
      <w:r w:rsidRPr="00350437">
        <w:rPr>
          <w:rFonts w:ascii="Arial" w:eastAsiaTheme="minorEastAsia" w:hAnsi="Arial" w:cs="Arial" w:hint="eastAsia"/>
          <w:sz w:val="24"/>
          <w:szCs w:val="24"/>
        </w:rPr>
        <w:t>待后续论证完成并履行完内部审批程序后，公司将履行募投项目变更程序。</w:t>
      </w:r>
    </w:p>
    <w:p w:rsidR="00161F79" w:rsidRPr="00350437" w:rsidRDefault="00161F79" w:rsidP="004A2E99">
      <w:pPr>
        <w:autoSpaceDE w:val="0"/>
        <w:autoSpaceDN w:val="0"/>
        <w:spacing w:beforeLines="25" w:before="78" w:line="360" w:lineRule="auto"/>
        <w:ind w:firstLine="641"/>
        <w:outlineLvl w:val="1"/>
        <w:rPr>
          <w:rFonts w:ascii="Arial" w:eastAsiaTheme="minorEastAsia" w:hAnsi="Arial" w:cs="Arial"/>
          <w:b/>
          <w:sz w:val="24"/>
          <w:szCs w:val="24"/>
        </w:rPr>
      </w:pPr>
      <w:r w:rsidRPr="00350437">
        <w:rPr>
          <w:rFonts w:ascii="Arial" w:eastAsiaTheme="minorEastAsia" w:hAnsi="Arial" w:cs="Arial" w:hint="eastAsia"/>
          <w:b/>
          <w:sz w:val="24"/>
          <w:szCs w:val="24"/>
        </w:rPr>
        <w:t>（四）保障</w:t>
      </w:r>
      <w:r w:rsidR="00DE5669" w:rsidRPr="00350437">
        <w:rPr>
          <w:rFonts w:ascii="Arial" w:eastAsiaTheme="minorEastAsia" w:hAnsi="Arial" w:cs="Arial" w:hint="eastAsia"/>
          <w:b/>
          <w:sz w:val="24"/>
          <w:szCs w:val="24"/>
        </w:rPr>
        <w:t>募集资金投资项目</w:t>
      </w:r>
      <w:r w:rsidRPr="00350437">
        <w:rPr>
          <w:rFonts w:ascii="Arial" w:eastAsiaTheme="minorEastAsia" w:hAnsi="Arial" w:cs="Arial" w:hint="eastAsia"/>
          <w:b/>
          <w:sz w:val="24"/>
          <w:szCs w:val="24"/>
        </w:rPr>
        <w:t>延期后按期完成的措施</w:t>
      </w:r>
    </w:p>
    <w:p w:rsidR="00161F79" w:rsidRPr="00350437" w:rsidRDefault="00161F79" w:rsidP="00161F79">
      <w:pPr>
        <w:autoSpaceDE w:val="0"/>
        <w:autoSpaceDN w:val="0"/>
        <w:spacing w:line="360" w:lineRule="auto"/>
        <w:ind w:firstLine="641"/>
        <w:rPr>
          <w:rFonts w:ascii="Arial" w:eastAsiaTheme="minorEastAsia" w:hAnsi="Arial" w:cs="Arial"/>
          <w:sz w:val="24"/>
          <w:szCs w:val="24"/>
        </w:rPr>
      </w:pPr>
      <w:r w:rsidRPr="00350437">
        <w:rPr>
          <w:rFonts w:ascii="Arial" w:eastAsiaTheme="minorEastAsia" w:hAnsi="Arial" w:cs="Arial" w:hint="eastAsia"/>
          <w:sz w:val="24"/>
          <w:szCs w:val="24"/>
        </w:rPr>
        <w:t>公司将积极与各方沟通，进一步做好项目的各项优化工作，保障项目的顺利推进。同时，密切关注市场环境变化，结合公司实际情况，合理规划产能建设进度，优化资源配置。加强对募投项目的监督管理，定期对项目进行监督检查和评估，确保募集资金使用合规、有效。</w:t>
      </w:r>
    </w:p>
    <w:p w:rsidR="00E51876" w:rsidRPr="00350437" w:rsidRDefault="005042A7" w:rsidP="004A2E99">
      <w:pPr>
        <w:spacing w:beforeLines="25" w:before="78" w:line="360" w:lineRule="auto"/>
        <w:ind w:firstLineChars="200" w:firstLine="482"/>
        <w:outlineLvl w:val="0"/>
        <w:rPr>
          <w:rFonts w:ascii="Arial" w:hAnsi="Arial" w:cs="Arial"/>
          <w:b/>
          <w:sz w:val="24"/>
        </w:rPr>
      </w:pPr>
      <w:r w:rsidRPr="00350437">
        <w:rPr>
          <w:rFonts w:ascii="Arial" w:hAnsi="Arial" w:cs="Arial" w:hint="eastAsia"/>
          <w:b/>
          <w:sz w:val="24"/>
        </w:rPr>
        <w:t>四</w:t>
      </w:r>
      <w:r w:rsidR="00E51876" w:rsidRPr="00350437">
        <w:rPr>
          <w:rFonts w:ascii="Arial" w:hAnsi="Arial" w:cs="Arial" w:hint="eastAsia"/>
          <w:b/>
          <w:sz w:val="24"/>
        </w:rPr>
        <w:t>、本次募集资金投资项目的重新论证情况</w:t>
      </w:r>
    </w:p>
    <w:p w:rsidR="00E51876" w:rsidRPr="00350437" w:rsidRDefault="00E51876" w:rsidP="004A2E99">
      <w:pPr>
        <w:spacing w:line="360" w:lineRule="auto"/>
        <w:ind w:firstLineChars="200" w:firstLine="480"/>
        <w:rPr>
          <w:rFonts w:ascii="Arial" w:hAnsi="Arial" w:cs="Arial"/>
          <w:sz w:val="24"/>
        </w:rPr>
      </w:pPr>
      <w:r w:rsidRPr="00350437">
        <w:rPr>
          <w:rFonts w:ascii="Arial" w:hAnsi="Arial" w:cs="Arial" w:hint="eastAsia"/>
          <w:sz w:val="24"/>
        </w:rPr>
        <w:t>根据</w:t>
      </w:r>
      <w:r w:rsidR="001C7683" w:rsidRPr="00350437">
        <w:rPr>
          <w:rFonts w:ascii="Arial" w:hAnsi="Arial" w:cs="Arial" w:hint="eastAsia"/>
          <w:sz w:val="24"/>
        </w:rPr>
        <w:t>《上市公司募集资金监管规则》</w:t>
      </w:r>
      <w:r w:rsidRPr="00350437">
        <w:rPr>
          <w:rFonts w:ascii="Arial" w:hAnsi="Arial" w:cs="Arial" w:hint="eastAsia"/>
          <w:sz w:val="24"/>
        </w:rPr>
        <w:t>《深圳证券交易所上市公司自律监管指引第</w:t>
      </w:r>
      <w:r w:rsidRPr="00350437">
        <w:rPr>
          <w:rFonts w:ascii="Arial" w:hAnsi="Arial" w:cs="Arial" w:hint="eastAsia"/>
          <w:sz w:val="24"/>
        </w:rPr>
        <w:t>2</w:t>
      </w:r>
      <w:r w:rsidRPr="00350437">
        <w:rPr>
          <w:rFonts w:ascii="Arial" w:hAnsi="Arial" w:cs="Arial" w:hint="eastAsia"/>
          <w:sz w:val="24"/>
        </w:rPr>
        <w:t>号——创业板上市公司规范运作》的规定，公司对本次延期的“宝色（南通）高端特材装备智能制造项目”进行了重新论证。</w:t>
      </w:r>
    </w:p>
    <w:p w:rsidR="00E51876" w:rsidRPr="00350437" w:rsidRDefault="00E51876" w:rsidP="004A2E99">
      <w:pPr>
        <w:spacing w:beforeLines="25" w:before="78" w:line="360" w:lineRule="auto"/>
        <w:ind w:firstLineChars="200" w:firstLine="482"/>
        <w:outlineLvl w:val="1"/>
        <w:rPr>
          <w:rFonts w:ascii="Arial" w:hAnsi="Arial" w:cs="Arial"/>
          <w:b/>
          <w:sz w:val="24"/>
        </w:rPr>
      </w:pPr>
      <w:r w:rsidRPr="00350437">
        <w:rPr>
          <w:rFonts w:ascii="Arial" w:hAnsi="Arial" w:cs="Arial" w:hint="eastAsia"/>
          <w:b/>
          <w:sz w:val="24"/>
        </w:rPr>
        <w:t>（一）项目的必要性分析</w:t>
      </w:r>
    </w:p>
    <w:p w:rsidR="00DE5669" w:rsidRPr="00350437" w:rsidRDefault="00DE5669" w:rsidP="00C62326">
      <w:pPr>
        <w:autoSpaceDE w:val="0"/>
        <w:autoSpaceDN w:val="0"/>
        <w:spacing w:beforeLines="25" w:before="78" w:line="360" w:lineRule="auto"/>
        <w:ind w:firstLine="641"/>
        <w:rPr>
          <w:rFonts w:ascii="Arial" w:hAnsi="Arial" w:cs="Arial"/>
          <w:sz w:val="24"/>
        </w:rPr>
      </w:pPr>
      <w:bookmarkStart w:id="0" w:name="_Hlk204001400"/>
      <w:r w:rsidRPr="00350437">
        <w:rPr>
          <w:rFonts w:ascii="Arial" w:hAnsi="Arial" w:cs="Arial" w:hint="eastAsia"/>
          <w:sz w:val="24"/>
        </w:rPr>
        <w:t>特材非标压力容器装备制造业是国家高端装备制造业的关键细分领域。随着压力容器应用场景的复杂和多元化，大型特材压力容器凭借其卓越的性能，在能源、化工、核电、环保、舰船及海洋工程等领域的市场需求快速增长，且下游应用领域不断拓展。受益于国家经济发展、基础设施建设，能源开发以及环境保护等有利因素，未来特材压力容器装备市场需求广阔，具备较大市场潜力。为契合公司发展战略，进一步优化产品结构，完善产业布局，扩大产业规模，推动公司产业升级与高质量可持续发展，公司将以</w:t>
      </w:r>
      <w:r w:rsidR="008842B0" w:rsidRPr="00350437">
        <w:rPr>
          <w:rFonts w:ascii="Arial" w:hAnsi="Arial" w:cs="Arial" w:hint="eastAsia"/>
          <w:sz w:val="24"/>
        </w:rPr>
        <w:t>该</w:t>
      </w:r>
      <w:r w:rsidRPr="00350437">
        <w:rPr>
          <w:rFonts w:ascii="Arial" w:hAnsi="Arial" w:cs="Arial" w:hint="eastAsia"/>
          <w:sz w:val="24"/>
        </w:rPr>
        <w:t>项目为契机，在持续巩固传统领域优势业务的同时，积极拓展业务边界，为公司长远发展筑牢基础。</w:t>
      </w:r>
    </w:p>
    <w:p w:rsidR="00706954" w:rsidRPr="00350437" w:rsidRDefault="008842B0" w:rsidP="00C62326">
      <w:pPr>
        <w:autoSpaceDE w:val="0"/>
        <w:autoSpaceDN w:val="0"/>
        <w:spacing w:beforeLines="25" w:before="78" w:line="360" w:lineRule="auto"/>
        <w:ind w:firstLine="641"/>
        <w:rPr>
          <w:rFonts w:ascii="Arial" w:hAnsi="Arial" w:cs="Arial"/>
          <w:sz w:val="24"/>
        </w:rPr>
      </w:pPr>
      <w:r w:rsidRPr="00350437">
        <w:rPr>
          <w:rFonts w:ascii="Arial" w:hAnsi="Arial" w:cs="Arial" w:hint="eastAsia"/>
          <w:sz w:val="24"/>
        </w:rPr>
        <w:t>随着国家对石化</w:t>
      </w:r>
      <w:r w:rsidR="00E04D56" w:rsidRPr="00350437">
        <w:rPr>
          <w:rFonts w:ascii="Arial" w:hAnsi="Arial" w:cs="Arial" w:hint="eastAsia"/>
          <w:sz w:val="24"/>
        </w:rPr>
        <w:t>行业相关领域供给侧改革的持续</w:t>
      </w:r>
      <w:r w:rsidR="00E04D56" w:rsidRPr="00350437">
        <w:rPr>
          <w:rFonts w:ascii="Arial" w:hAnsi="Arial" w:cs="Arial"/>
          <w:sz w:val="24"/>
        </w:rPr>
        <w:t>深化</w:t>
      </w:r>
      <w:r w:rsidR="00E04D56" w:rsidRPr="00350437">
        <w:rPr>
          <w:rFonts w:ascii="Arial" w:hAnsi="Arial" w:cs="Arial" w:hint="eastAsia"/>
          <w:sz w:val="24"/>
        </w:rPr>
        <w:t>，促进了能源及</w:t>
      </w:r>
      <w:r w:rsidRPr="00350437">
        <w:rPr>
          <w:rFonts w:ascii="Arial" w:hAnsi="Arial" w:cs="Arial" w:hint="eastAsia"/>
          <w:sz w:val="24"/>
        </w:rPr>
        <w:t>化工等</w:t>
      </w:r>
      <w:r w:rsidR="00E04D56" w:rsidRPr="00350437">
        <w:rPr>
          <w:rFonts w:ascii="Arial" w:hAnsi="Arial" w:cs="Arial" w:hint="eastAsia"/>
          <w:sz w:val="24"/>
        </w:rPr>
        <w:t>下游行业的结构调整与产业升级</w:t>
      </w:r>
      <w:r w:rsidRPr="00350437">
        <w:rPr>
          <w:rFonts w:ascii="Arial" w:hAnsi="Arial" w:cs="Arial" w:hint="eastAsia"/>
          <w:sz w:val="24"/>
        </w:rPr>
        <w:t>，促使下游</w:t>
      </w:r>
      <w:r w:rsidRPr="00350437">
        <w:rPr>
          <w:rFonts w:ascii="Arial" w:hAnsi="Arial" w:cs="Arial"/>
          <w:sz w:val="24"/>
        </w:rPr>
        <w:t>客户对</w:t>
      </w:r>
      <w:r w:rsidRPr="00350437">
        <w:rPr>
          <w:rFonts w:ascii="Arial" w:hAnsi="Arial" w:cs="Arial" w:hint="eastAsia"/>
          <w:sz w:val="24"/>
        </w:rPr>
        <w:t>压力容器产品的</w:t>
      </w:r>
      <w:r w:rsidRPr="00350437">
        <w:rPr>
          <w:rFonts w:ascii="Arial" w:hAnsi="Arial" w:cs="Arial"/>
          <w:sz w:val="24"/>
        </w:rPr>
        <w:t>需求</w:t>
      </w:r>
      <w:r w:rsidR="00953C95" w:rsidRPr="00350437">
        <w:rPr>
          <w:rFonts w:ascii="Arial" w:hAnsi="Arial" w:cs="Arial" w:hint="eastAsia"/>
          <w:sz w:val="24"/>
        </w:rPr>
        <w:t>不断趋于大型化、超限化及</w:t>
      </w:r>
      <w:r w:rsidRPr="00350437">
        <w:rPr>
          <w:rFonts w:ascii="Arial" w:hAnsi="Arial" w:cs="Arial" w:hint="eastAsia"/>
          <w:sz w:val="24"/>
        </w:rPr>
        <w:t>重型化，公司现有生产场地</w:t>
      </w:r>
      <w:r w:rsidR="00953C95" w:rsidRPr="00350437">
        <w:rPr>
          <w:rFonts w:ascii="Arial" w:hAnsi="Arial" w:cs="Arial" w:hint="eastAsia"/>
          <w:sz w:val="24"/>
        </w:rPr>
        <w:t>及</w:t>
      </w:r>
      <w:r w:rsidR="00953C95" w:rsidRPr="00350437">
        <w:rPr>
          <w:rFonts w:ascii="Arial" w:hAnsi="Arial" w:cs="Arial"/>
          <w:sz w:val="24"/>
        </w:rPr>
        <w:t>配套设施</w:t>
      </w:r>
      <w:r w:rsidR="00953C95" w:rsidRPr="00350437">
        <w:rPr>
          <w:rFonts w:ascii="Arial" w:hAnsi="Arial" w:cs="Arial" w:hint="eastAsia"/>
          <w:sz w:val="24"/>
        </w:rPr>
        <w:t>已逐渐难以</w:t>
      </w:r>
      <w:r w:rsidRPr="00350437">
        <w:rPr>
          <w:rFonts w:ascii="Arial" w:hAnsi="Arial" w:cs="Arial" w:hint="eastAsia"/>
          <w:sz w:val="24"/>
        </w:rPr>
        <w:t>满足公司不断增长的业务需求</w:t>
      </w:r>
      <w:r w:rsidR="00953C95" w:rsidRPr="00350437">
        <w:rPr>
          <w:rFonts w:ascii="Arial" w:hAnsi="Arial" w:cs="Arial" w:hint="eastAsia"/>
          <w:sz w:val="24"/>
        </w:rPr>
        <w:t>，特别是在承接大型、超限、重型压力容器订单方面面临瓶颈</w:t>
      </w:r>
      <w:r w:rsidRPr="00350437">
        <w:rPr>
          <w:rFonts w:ascii="Arial" w:hAnsi="Arial" w:cs="Arial" w:hint="eastAsia"/>
          <w:sz w:val="24"/>
        </w:rPr>
        <w:t>。</w:t>
      </w:r>
      <w:r w:rsidRPr="00350437">
        <w:rPr>
          <w:rFonts w:ascii="Arial" w:hAnsi="Arial" w:cs="Arial"/>
          <w:sz w:val="24"/>
        </w:rPr>
        <w:t>项目建设</w:t>
      </w:r>
      <w:r w:rsidR="00953C95" w:rsidRPr="00350437">
        <w:rPr>
          <w:rFonts w:ascii="Arial" w:hAnsi="Arial" w:cs="Arial" w:hint="eastAsia"/>
          <w:sz w:val="24"/>
        </w:rPr>
        <w:t>将</w:t>
      </w:r>
      <w:r w:rsidR="00953C95" w:rsidRPr="00350437">
        <w:rPr>
          <w:rFonts w:ascii="Arial" w:hAnsi="Arial" w:cs="Arial"/>
          <w:sz w:val="24"/>
        </w:rPr>
        <w:t>显著提升公司的</w:t>
      </w:r>
      <w:r w:rsidRPr="00350437">
        <w:rPr>
          <w:rFonts w:ascii="Arial" w:hAnsi="Arial" w:cs="Arial" w:hint="eastAsia"/>
          <w:sz w:val="24"/>
        </w:rPr>
        <w:t>生产能力，有效</w:t>
      </w:r>
      <w:r w:rsidR="00953C95" w:rsidRPr="00350437">
        <w:rPr>
          <w:rFonts w:ascii="Arial" w:hAnsi="Arial" w:cs="Arial" w:hint="eastAsia"/>
          <w:sz w:val="24"/>
        </w:rPr>
        <w:t>解决</w:t>
      </w:r>
      <w:r w:rsidR="00D127FA" w:rsidRPr="00350437">
        <w:rPr>
          <w:rFonts w:ascii="Arial" w:hAnsi="Arial" w:cs="Arial" w:hint="eastAsia"/>
          <w:sz w:val="24"/>
        </w:rPr>
        <w:t>生产场地</w:t>
      </w:r>
      <w:r w:rsidR="00953C95" w:rsidRPr="00350437">
        <w:rPr>
          <w:rFonts w:ascii="Arial" w:hAnsi="Arial" w:cs="Arial" w:hint="eastAsia"/>
          <w:sz w:val="24"/>
        </w:rPr>
        <w:t>和</w:t>
      </w:r>
      <w:r w:rsidR="00953C95" w:rsidRPr="00350437">
        <w:rPr>
          <w:rFonts w:ascii="Arial" w:hAnsi="Arial" w:cs="Arial"/>
          <w:sz w:val="24"/>
        </w:rPr>
        <w:t>产能</w:t>
      </w:r>
      <w:r w:rsidRPr="00350437">
        <w:rPr>
          <w:rFonts w:ascii="Arial" w:hAnsi="Arial" w:cs="Arial" w:hint="eastAsia"/>
          <w:sz w:val="24"/>
        </w:rPr>
        <w:t>瓶颈，</w:t>
      </w:r>
      <w:r w:rsidR="00953C95" w:rsidRPr="00350437">
        <w:rPr>
          <w:rFonts w:ascii="Arial" w:hAnsi="Arial" w:cs="Arial" w:hint="eastAsia"/>
          <w:sz w:val="24"/>
        </w:rPr>
        <w:t>不仅有利于公司进一步拓展大型能源、化工等领域的项目市场，也将为公司未来的业务扩张提供有力支撑，为业绩的持续增长奠定坚实基础。</w:t>
      </w:r>
    </w:p>
    <w:p w:rsidR="00DE5669" w:rsidRPr="00350437" w:rsidRDefault="00DE5669" w:rsidP="00DE5669">
      <w:pPr>
        <w:autoSpaceDE w:val="0"/>
        <w:autoSpaceDN w:val="0"/>
        <w:spacing w:line="360" w:lineRule="auto"/>
        <w:ind w:firstLine="641"/>
        <w:rPr>
          <w:rFonts w:ascii="Arial" w:hAnsi="Arial" w:cs="Arial"/>
          <w:sz w:val="24"/>
        </w:rPr>
      </w:pPr>
      <w:r w:rsidRPr="00350437">
        <w:rPr>
          <w:rFonts w:ascii="Arial" w:hAnsi="Arial" w:cs="Arial" w:hint="eastAsia"/>
          <w:sz w:val="24"/>
        </w:rPr>
        <w:t>多年来，公司高度重视生产装备的投入与升级，配备了先进的生产、焊接及检验检测等设备，并不断推广应用自动化、数字化等先进制造系统，公司生产装备条件不断升级。然而，在当前制造业智能化转型进程中，公司仍面临一些亟待解决的问题。例如，部分关键工艺依赖传统人工操作，限制了生产效率和质量的提升；对生产过程中数据采集、分析和应用不够深入，难以实现生产过程的实时监控和精准调控。通过项目</w:t>
      </w:r>
      <w:r w:rsidR="008842B0" w:rsidRPr="00350437">
        <w:rPr>
          <w:rFonts w:ascii="Arial" w:hAnsi="Arial" w:cs="Arial" w:hint="eastAsia"/>
          <w:sz w:val="24"/>
        </w:rPr>
        <w:t>建设</w:t>
      </w:r>
      <w:r w:rsidRPr="00350437">
        <w:rPr>
          <w:rFonts w:ascii="Arial" w:hAnsi="Arial" w:cs="Arial" w:hint="eastAsia"/>
          <w:sz w:val="24"/>
        </w:rPr>
        <w:t>，公司将加大自动化、智能化设备的投入与应用，促进传统制造工艺与工业信息化、智能化深度融合，提升智能制造水平，推动公司产业技术升级。</w:t>
      </w:r>
    </w:p>
    <w:bookmarkEnd w:id="0"/>
    <w:p w:rsidR="00E51876" w:rsidRPr="00350437" w:rsidRDefault="00E51876" w:rsidP="004A2E99">
      <w:pPr>
        <w:spacing w:beforeLines="25" w:before="78" w:line="360" w:lineRule="auto"/>
        <w:ind w:firstLineChars="200" w:firstLine="482"/>
        <w:outlineLvl w:val="1"/>
        <w:rPr>
          <w:rFonts w:ascii="Arial" w:hAnsi="Arial" w:cs="Arial"/>
          <w:b/>
          <w:sz w:val="24"/>
        </w:rPr>
      </w:pPr>
      <w:r w:rsidRPr="00350437">
        <w:rPr>
          <w:rFonts w:ascii="Arial" w:hAnsi="Arial" w:cs="Arial" w:hint="eastAsia"/>
          <w:b/>
          <w:sz w:val="24"/>
        </w:rPr>
        <w:t>（二）项目的可行性分析</w:t>
      </w:r>
    </w:p>
    <w:p w:rsidR="00E51876" w:rsidRPr="00350437" w:rsidRDefault="00E51876" w:rsidP="004A2E99">
      <w:pPr>
        <w:spacing w:beforeLines="25" w:before="78" w:line="360" w:lineRule="auto"/>
        <w:ind w:firstLineChars="200" w:firstLine="482"/>
        <w:rPr>
          <w:rFonts w:ascii="Arial" w:hAnsi="Arial" w:cs="Arial"/>
          <w:b/>
          <w:sz w:val="24"/>
        </w:rPr>
      </w:pPr>
      <w:r w:rsidRPr="00350437">
        <w:rPr>
          <w:rFonts w:ascii="Arial" w:hAnsi="Arial" w:cs="Arial" w:hint="eastAsia"/>
          <w:b/>
          <w:sz w:val="24"/>
        </w:rPr>
        <w:t>（</w:t>
      </w:r>
      <w:r w:rsidRPr="00350437">
        <w:rPr>
          <w:rFonts w:ascii="Arial" w:hAnsi="Arial" w:cs="Arial"/>
          <w:b/>
          <w:sz w:val="24"/>
        </w:rPr>
        <w:t>1</w:t>
      </w:r>
      <w:r w:rsidRPr="00350437">
        <w:rPr>
          <w:rFonts w:ascii="Arial" w:hAnsi="Arial" w:cs="Arial" w:hint="eastAsia"/>
          <w:b/>
          <w:sz w:val="24"/>
        </w:rPr>
        <w:t>）项目实施符合国家政策及产业发展方向</w:t>
      </w:r>
    </w:p>
    <w:p w:rsidR="00DE5669" w:rsidRPr="00350437" w:rsidRDefault="00DE5669" w:rsidP="004A2E99">
      <w:pPr>
        <w:spacing w:beforeLines="25" w:before="78" w:line="360" w:lineRule="auto"/>
        <w:ind w:firstLineChars="200" w:firstLine="480"/>
        <w:rPr>
          <w:rFonts w:ascii="Arial" w:hAnsi="Arial" w:cs="Arial"/>
          <w:sz w:val="24"/>
        </w:rPr>
      </w:pPr>
      <w:bookmarkStart w:id="1" w:name="_Hlk204001418"/>
      <w:r w:rsidRPr="00350437">
        <w:rPr>
          <w:rFonts w:ascii="Arial" w:hAnsi="Arial" w:cs="Arial" w:hint="eastAsia"/>
          <w:sz w:val="24"/>
        </w:rPr>
        <w:t>在国家积极培育和推动高端装备制造业发展的背景下，国务院、国家发改委及相关政府主管部门陆续出台</w:t>
      </w:r>
      <w:r w:rsidR="00EE7DD6" w:rsidRPr="00350437">
        <w:rPr>
          <w:rFonts w:ascii="Arial" w:hAnsi="Arial" w:cs="Arial" w:hint="eastAsia"/>
          <w:sz w:val="24"/>
        </w:rPr>
        <w:t>了</w:t>
      </w:r>
      <w:r w:rsidRPr="00350437">
        <w:rPr>
          <w:rFonts w:ascii="Arial" w:hAnsi="Arial" w:cs="Arial" w:hint="eastAsia"/>
          <w:sz w:val="24"/>
        </w:rPr>
        <w:t>一系列产业规划和扶持政策。在良好政策环境支持下，高端装备制造业发展迅速，产业竞争力和国际影响力不断提升。同时，随着传统化工、冶金等行业结构调整以及能源产业的转型升级，装备制造业正朝着高效节能、绿色、数字化、智能化、模块化、集成化以及产业链协同化方向发展。</w:t>
      </w:r>
      <w:r w:rsidR="00EE7DD6" w:rsidRPr="00350437">
        <w:rPr>
          <w:rFonts w:ascii="Arial" w:hAnsi="Arial" w:cs="Arial" w:hint="eastAsia"/>
          <w:sz w:val="24"/>
        </w:rPr>
        <w:t>本项目的核心产品为</w:t>
      </w:r>
      <w:r w:rsidRPr="00350437">
        <w:rPr>
          <w:rFonts w:ascii="Arial" w:hAnsi="Arial" w:cs="Arial" w:hint="eastAsia"/>
          <w:sz w:val="24"/>
        </w:rPr>
        <w:t>大型特材非标压力容器装备，属于高端装备制造业范畴，与国家产业政策和行业发展导向高度契合。</w:t>
      </w:r>
    </w:p>
    <w:bookmarkEnd w:id="1"/>
    <w:p w:rsidR="00706954" w:rsidRPr="00350437" w:rsidRDefault="00E51876" w:rsidP="004A2E99">
      <w:pPr>
        <w:spacing w:beforeLines="25" w:before="78" w:line="360" w:lineRule="auto"/>
        <w:ind w:firstLineChars="200" w:firstLine="482"/>
        <w:rPr>
          <w:rFonts w:ascii="Arial" w:hAnsi="Arial" w:cs="Arial"/>
          <w:b/>
          <w:sz w:val="24"/>
        </w:rPr>
      </w:pPr>
      <w:r w:rsidRPr="00350437">
        <w:rPr>
          <w:rFonts w:ascii="Arial" w:hAnsi="Arial" w:cs="Arial" w:hint="eastAsia"/>
          <w:b/>
          <w:sz w:val="24"/>
        </w:rPr>
        <w:t>（</w:t>
      </w:r>
      <w:r w:rsidRPr="00350437">
        <w:rPr>
          <w:rFonts w:ascii="Arial" w:hAnsi="Arial" w:cs="Arial"/>
          <w:b/>
          <w:sz w:val="24"/>
        </w:rPr>
        <w:t>2</w:t>
      </w:r>
      <w:r w:rsidRPr="00350437">
        <w:rPr>
          <w:rFonts w:ascii="Arial" w:hAnsi="Arial" w:cs="Arial" w:hint="eastAsia"/>
          <w:b/>
          <w:sz w:val="24"/>
        </w:rPr>
        <w:t>）行业市场前景广阔，为项目实施提供了产能消化基础</w:t>
      </w:r>
    </w:p>
    <w:p w:rsidR="00DE5669" w:rsidRPr="00350437" w:rsidRDefault="00DE5669" w:rsidP="004A2E99">
      <w:pPr>
        <w:spacing w:line="360" w:lineRule="auto"/>
        <w:ind w:firstLineChars="200" w:firstLine="480"/>
        <w:rPr>
          <w:rFonts w:ascii="Arial" w:hAnsi="Arial" w:cs="Arial"/>
          <w:sz w:val="24"/>
        </w:rPr>
      </w:pPr>
      <w:bookmarkStart w:id="2" w:name="_Hlk204001426"/>
      <w:r w:rsidRPr="00350437">
        <w:rPr>
          <w:rFonts w:ascii="Arial" w:hAnsi="Arial" w:cs="Arial" w:hint="eastAsia"/>
          <w:sz w:val="24"/>
        </w:rPr>
        <w:t>国民经济传统产业的转型升级以及战略新兴产业的培育发展，对特材非标装备制造业提出了更高要求，同时也创造了巨大市场需求空间。行业发展前景长期向好，为特材装备制造企业，尤其是具备技术、市场、装备和规模优势的头部企业，提供了广阔市场空间。有利的市场形势为项目实施奠定了坚实的产能消化基础，保障项目顺利推进并实现预期效益。</w:t>
      </w:r>
    </w:p>
    <w:bookmarkEnd w:id="2"/>
    <w:p w:rsidR="00E51876" w:rsidRPr="00350437" w:rsidRDefault="00E51876" w:rsidP="004A2E99">
      <w:pPr>
        <w:spacing w:beforeLines="25" w:before="78" w:line="360" w:lineRule="auto"/>
        <w:ind w:firstLineChars="200" w:firstLine="482"/>
        <w:rPr>
          <w:rFonts w:ascii="Arial" w:hAnsi="Arial" w:cs="Arial"/>
          <w:b/>
          <w:sz w:val="24"/>
        </w:rPr>
      </w:pPr>
      <w:r w:rsidRPr="00350437">
        <w:rPr>
          <w:rFonts w:ascii="Arial" w:hAnsi="Arial" w:cs="Arial" w:hint="eastAsia"/>
          <w:b/>
          <w:sz w:val="24"/>
        </w:rPr>
        <w:t>（</w:t>
      </w:r>
      <w:r w:rsidRPr="00350437">
        <w:rPr>
          <w:rFonts w:ascii="Arial" w:hAnsi="Arial" w:cs="Arial"/>
          <w:b/>
          <w:sz w:val="24"/>
        </w:rPr>
        <w:t>3</w:t>
      </w:r>
      <w:r w:rsidRPr="00350437">
        <w:rPr>
          <w:rFonts w:ascii="Arial" w:hAnsi="Arial" w:cs="Arial" w:hint="eastAsia"/>
          <w:b/>
          <w:sz w:val="24"/>
        </w:rPr>
        <w:t>）公司深厚的技术储备及坚实的客户基础，为项目的产能消化提供保障</w:t>
      </w:r>
    </w:p>
    <w:p w:rsidR="00E51876" w:rsidRPr="00350437" w:rsidRDefault="00DE5669" w:rsidP="004A2E99">
      <w:pPr>
        <w:spacing w:line="360" w:lineRule="auto"/>
        <w:ind w:firstLineChars="200" w:firstLine="480"/>
        <w:rPr>
          <w:rFonts w:ascii="Arial" w:hAnsi="Arial" w:cs="Arial"/>
          <w:sz w:val="24"/>
        </w:rPr>
      </w:pPr>
      <w:bookmarkStart w:id="3" w:name="_Hlk204001433"/>
      <w:r w:rsidRPr="00350437">
        <w:rPr>
          <w:rFonts w:ascii="Arial" w:hAnsi="Arial" w:cs="Arial" w:hint="eastAsia"/>
          <w:sz w:val="24"/>
        </w:rPr>
        <w:t>经过多年发展和技术积累，公司在特材非标装备的整体方案设计、机械加工、成型、焊接、无损检测、热处理、现场检修等方面积累了丰富经验，掌握了大型重型装备关键制造技术。公司产品涵盖石油化工、煤化工、精细化工、冶金、电力、新能源、新材料、环保等领域，在国内建立了以江苏、浙江、福建、山东等华东地区以及新疆等西北地区为主，辐射全国其他区域的销售网络，并成功开拓了美国、西班牙、加拿大、德国、澳大利亚、印尼、智利等国际市场，成为国内少数能将高品质产品销往海外优质客户的特材装备制造企业。深厚的技术储备及优质客户资源为项目产能消化提供了有力支撑。</w:t>
      </w:r>
    </w:p>
    <w:bookmarkEnd w:id="3"/>
    <w:p w:rsidR="00E51876" w:rsidRPr="00350437" w:rsidRDefault="00E51876" w:rsidP="004A2E99">
      <w:pPr>
        <w:spacing w:beforeLines="25" w:before="78" w:line="360" w:lineRule="auto"/>
        <w:ind w:firstLineChars="200" w:firstLine="482"/>
        <w:outlineLvl w:val="1"/>
        <w:rPr>
          <w:rFonts w:ascii="Arial" w:hAnsi="Arial" w:cs="Arial"/>
          <w:b/>
          <w:sz w:val="24"/>
        </w:rPr>
      </w:pPr>
      <w:r w:rsidRPr="00350437">
        <w:rPr>
          <w:rFonts w:ascii="Arial" w:hAnsi="Arial" w:cs="Arial" w:hint="eastAsia"/>
          <w:b/>
          <w:sz w:val="24"/>
        </w:rPr>
        <w:t>（三）重新论证的结论</w:t>
      </w:r>
    </w:p>
    <w:p w:rsidR="00DE5669" w:rsidRPr="00350437" w:rsidRDefault="00DE5669" w:rsidP="00AC6862">
      <w:pPr>
        <w:widowControl/>
        <w:shd w:val="clear" w:color="auto" w:fill="FFFFFF"/>
        <w:spacing w:line="360" w:lineRule="auto"/>
        <w:ind w:firstLineChars="200" w:firstLine="480"/>
        <w:rPr>
          <w:rFonts w:ascii="Arial" w:hAnsi="Arial" w:cs="Arial"/>
          <w:sz w:val="24"/>
        </w:rPr>
      </w:pPr>
      <w:bookmarkStart w:id="4" w:name="_Hlk204001441"/>
      <w:r w:rsidRPr="00350437">
        <w:rPr>
          <w:rFonts w:ascii="Arial" w:hAnsi="Arial" w:cs="Arial" w:hint="eastAsia"/>
          <w:sz w:val="24"/>
        </w:rPr>
        <w:t>经重新论证，公司认为该项目符合战略规划，仍然具备投资的必要性和可行性</w:t>
      </w:r>
      <w:r w:rsidR="00953C95" w:rsidRPr="00350437">
        <w:rPr>
          <w:rFonts w:ascii="Arial" w:hAnsi="Arial" w:cs="Arial" w:hint="eastAsia"/>
          <w:sz w:val="24"/>
        </w:rPr>
        <w:t>。</w:t>
      </w:r>
    </w:p>
    <w:bookmarkEnd w:id="4"/>
    <w:p w:rsidR="00E51876" w:rsidRPr="00350437" w:rsidRDefault="005042A7" w:rsidP="004A2E99">
      <w:pPr>
        <w:widowControl/>
        <w:shd w:val="clear" w:color="auto" w:fill="FFFFFF"/>
        <w:spacing w:beforeLines="25" w:before="78" w:line="360" w:lineRule="auto"/>
        <w:ind w:firstLineChars="200" w:firstLine="482"/>
        <w:outlineLvl w:val="0"/>
        <w:rPr>
          <w:rFonts w:ascii="Arial" w:hAnsi="Arial" w:cs="Arial"/>
          <w:sz w:val="24"/>
        </w:rPr>
      </w:pPr>
      <w:r w:rsidRPr="00350437">
        <w:rPr>
          <w:rFonts w:ascii="Times New Roman" w:hAnsi="宋体" w:hint="eastAsia"/>
          <w:b/>
          <w:color w:val="000000"/>
          <w:sz w:val="24"/>
        </w:rPr>
        <w:t>五</w:t>
      </w:r>
      <w:r w:rsidR="00E51876" w:rsidRPr="00350437">
        <w:rPr>
          <w:rFonts w:ascii="Times New Roman" w:hAnsi="宋体"/>
          <w:b/>
          <w:color w:val="000000"/>
          <w:sz w:val="24"/>
        </w:rPr>
        <w:t>、本次募集资金投资项目延期对公司的影响</w:t>
      </w:r>
    </w:p>
    <w:p w:rsidR="00AF7D45" w:rsidRPr="00350437" w:rsidRDefault="00A477CC" w:rsidP="00C62326">
      <w:pPr>
        <w:widowControl/>
        <w:shd w:val="clear" w:color="auto" w:fill="FFFFFF"/>
        <w:spacing w:beforeLines="25" w:before="78" w:line="360" w:lineRule="auto"/>
        <w:ind w:firstLineChars="200" w:firstLine="480"/>
        <w:rPr>
          <w:rFonts w:ascii="Arial" w:hAnsi="Arial" w:cs="Arial"/>
          <w:sz w:val="24"/>
        </w:rPr>
      </w:pPr>
      <w:bookmarkStart w:id="5" w:name="_Hlk204001458"/>
      <w:r w:rsidRPr="00350437">
        <w:rPr>
          <w:rFonts w:ascii="Arial" w:hAnsi="Arial" w:cs="Arial" w:hint="eastAsia"/>
          <w:sz w:val="24"/>
        </w:rPr>
        <w:t>本次募集资金</w:t>
      </w:r>
      <w:r w:rsidRPr="00350437">
        <w:rPr>
          <w:rFonts w:ascii="Arial" w:hAnsi="Arial" w:cs="Arial"/>
          <w:sz w:val="24"/>
        </w:rPr>
        <w:t>投资项目</w:t>
      </w:r>
      <w:r w:rsidR="00DE5669" w:rsidRPr="00350437">
        <w:rPr>
          <w:rFonts w:ascii="Arial" w:hAnsi="Arial" w:cs="Arial" w:hint="eastAsia"/>
          <w:sz w:val="24"/>
        </w:rPr>
        <w:t>延期是公司基于</w:t>
      </w:r>
      <w:r w:rsidRPr="00350437">
        <w:rPr>
          <w:rFonts w:ascii="Arial" w:hAnsi="Arial" w:cs="Arial" w:hint="eastAsia"/>
          <w:sz w:val="24"/>
        </w:rPr>
        <w:t>项目的实际</w:t>
      </w:r>
      <w:r w:rsidRPr="00350437">
        <w:rPr>
          <w:rFonts w:ascii="Arial" w:hAnsi="Arial" w:cs="Arial"/>
          <w:sz w:val="24"/>
        </w:rPr>
        <w:t>推进</w:t>
      </w:r>
      <w:r w:rsidR="00DE5669" w:rsidRPr="00350437">
        <w:rPr>
          <w:rFonts w:ascii="Arial" w:hAnsi="Arial" w:cs="Arial" w:hint="eastAsia"/>
          <w:sz w:val="24"/>
        </w:rPr>
        <w:t>情况，秉持审慎使用募集资金的原则，紧密结合公司发展战略，综合考量项目投资与运营成本、优化资源配置利用等多方面因素做出的</w:t>
      </w:r>
      <w:r w:rsidRPr="00350437">
        <w:rPr>
          <w:rFonts w:ascii="Arial" w:hAnsi="Arial" w:cs="Arial" w:hint="eastAsia"/>
          <w:sz w:val="24"/>
        </w:rPr>
        <w:t>审慎</w:t>
      </w:r>
      <w:r w:rsidR="00DE5669" w:rsidRPr="00350437">
        <w:rPr>
          <w:rFonts w:ascii="Arial" w:hAnsi="Arial" w:cs="Arial" w:hint="eastAsia"/>
          <w:sz w:val="24"/>
        </w:rPr>
        <w:t>决定，</w:t>
      </w:r>
      <w:r w:rsidRPr="00350437">
        <w:rPr>
          <w:rFonts w:ascii="Arial" w:hAnsi="Arial" w:cs="Arial" w:hint="eastAsia"/>
          <w:sz w:val="24"/>
        </w:rPr>
        <w:t>不存在改变</w:t>
      </w:r>
      <w:r w:rsidRPr="00350437">
        <w:rPr>
          <w:rFonts w:ascii="Arial" w:hAnsi="Arial" w:cs="Arial"/>
          <w:sz w:val="24"/>
        </w:rPr>
        <w:t>或变相改变募集资金投向和</w:t>
      </w:r>
      <w:r w:rsidRPr="00350437">
        <w:rPr>
          <w:rFonts w:ascii="Arial" w:hAnsi="Arial" w:cs="Arial" w:hint="eastAsia"/>
          <w:sz w:val="24"/>
        </w:rPr>
        <w:t>其他</w:t>
      </w:r>
      <w:r w:rsidRPr="00350437">
        <w:rPr>
          <w:rFonts w:ascii="Arial" w:hAnsi="Arial" w:cs="Arial"/>
          <w:sz w:val="24"/>
        </w:rPr>
        <w:t>损害股东利益的情形。符合</w:t>
      </w:r>
      <w:r w:rsidRPr="00350437">
        <w:rPr>
          <w:rFonts w:ascii="Arial" w:hAnsi="Arial" w:cs="Arial" w:hint="eastAsia"/>
          <w:sz w:val="24"/>
        </w:rPr>
        <w:t>中国</w:t>
      </w:r>
      <w:r w:rsidRPr="00350437">
        <w:rPr>
          <w:rFonts w:ascii="Arial" w:hAnsi="Arial" w:cs="Arial"/>
          <w:sz w:val="24"/>
        </w:rPr>
        <w:t>证监会、</w:t>
      </w:r>
      <w:r w:rsidRPr="00350437">
        <w:rPr>
          <w:rFonts w:ascii="Arial" w:hAnsi="Arial" w:cs="Arial" w:hint="eastAsia"/>
          <w:sz w:val="24"/>
        </w:rPr>
        <w:t>深圳证券交易所</w:t>
      </w:r>
      <w:r w:rsidRPr="00350437">
        <w:rPr>
          <w:rFonts w:ascii="Arial" w:hAnsi="Arial" w:cs="Arial"/>
          <w:sz w:val="24"/>
        </w:rPr>
        <w:t>关于上市公司募集资金管理</w:t>
      </w:r>
      <w:r w:rsidR="00FC20B4" w:rsidRPr="00350437">
        <w:rPr>
          <w:rFonts w:ascii="Arial" w:hAnsi="Arial" w:cs="Arial" w:hint="eastAsia"/>
          <w:sz w:val="24"/>
        </w:rPr>
        <w:t>和</w:t>
      </w:r>
      <w:r w:rsidR="00FC20B4" w:rsidRPr="00350437">
        <w:rPr>
          <w:rFonts w:ascii="Arial" w:hAnsi="Arial" w:cs="Arial"/>
          <w:sz w:val="24"/>
        </w:rPr>
        <w:t>使用</w:t>
      </w:r>
      <w:r w:rsidRPr="00350437">
        <w:rPr>
          <w:rFonts w:ascii="Arial" w:hAnsi="Arial" w:cs="Arial"/>
          <w:sz w:val="24"/>
        </w:rPr>
        <w:t>的相关规定</w:t>
      </w:r>
      <w:r w:rsidR="00AF7D45" w:rsidRPr="00350437">
        <w:rPr>
          <w:rFonts w:ascii="Arial" w:hAnsi="Arial" w:cs="Arial" w:hint="eastAsia"/>
          <w:sz w:val="24"/>
        </w:rPr>
        <w:t>。</w:t>
      </w:r>
    </w:p>
    <w:p w:rsidR="00706954" w:rsidRPr="00350437" w:rsidRDefault="00AF7D45" w:rsidP="00C62326">
      <w:pPr>
        <w:widowControl/>
        <w:shd w:val="clear" w:color="auto" w:fill="FFFFFF"/>
        <w:spacing w:beforeLines="25" w:before="78" w:line="360" w:lineRule="auto"/>
        <w:ind w:firstLineChars="200" w:firstLine="480"/>
        <w:rPr>
          <w:rFonts w:ascii="Arial" w:hAnsi="Arial" w:cs="Arial"/>
          <w:sz w:val="24"/>
        </w:rPr>
      </w:pPr>
      <w:r w:rsidRPr="00350437">
        <w:rPr>
          <w:rFonts w:ascii="Arial" w:hAnsi="Arial" w:cs="Arial" w:hint="eastAsia"/>
          <w:sz w:val="24"/>
        </w:rPr>
        <w:t>本次募集资金</w:t>
      </w:r>
      <w:r w:rsidRPr="00350437">
        <w:rPr>
          <w:rFonts w:ascii="Arial" w:hAnsi="Arial" w:cs="Arial"/>
          <w:sz w:val="24"/>
        </w:rPr>
        <w:t>投资项目</w:t>
      </w:r>
      <w:r w:rsidRPr="00350437">
        <w:rPr>
          <w:rFonts w:ascii="Arial" w:hAnsi="Arial" w:cs="Arial" w:hint="eastAsia"/>
          <w:sz w:val="24"/>
        </w:rPr>
        <w:t>延期，</w:t>
      </w:r>
      <w:r w:rsidRPr="00350437">
        <w:rPr>
          <w:rFonts w:ascii="Arial" w:hAnsi="Arial" w:cs="Arial"/>
          <w:sz w:val="24"/>
        </w:rPr>
        <w:t>不会对公司当前的生产经营造成重大影响</w:t>
      </w:r>
      <w:r w:rsidRPr="00350437">
        <w:rPr>
          <w:rFonts w:ascii="Arial" w:hAnsi="Arial" w:cs="Arial" w:hint="eastAsia"/>
          <w:sz w:val="24"/>
        </w:rPr>
        <w:t>。公司</w:t>
      </w:r>
      <w:r w:rsidRPr="00350437">
        <w:rPr>
          <w:rFonts w:ascii="Arial" w:hAnsi="Arial" w:cs="Arial"/>
          <w:sz w:val="24"/>
        </w:rPr>
        <w:t>将积极推进项目相关工作，并及时履行相应的</w:t>
      </w:r>
      <w:r w:rsidRPr="00350437">
        <w:rPr>
          <w:rFonts w:ascii="Arial" w:hAnsi="Arial" w:cs="Arial" w:hint="eastAsia"/>
          <w:sz w:val="24"/>
        </w:rPr>
        <w:t>审批程序</w:t>
      </w:r>
      <w:r w:rsidRPr="00350437">
        <w:rPr>
          <w:rFonts w:ascii="Arial" w:hAnsi="Arial" w:cs="Arial"/>
          <w:sz w:val="24"/>
        </w:rPr>
        <w:t>及信息披露义务。</w:t>
      </w:r>
    </w:p>
    <w:bookmarkEnd w:id="5"/>
    <w:p w:rsidR="00706954" w:rsidRPr="00350437" w:rsidRDefault="005042A7" w:rsidP="004A2E99">
      <w:pPr>
        <w:autoSpaceDE w:val="0"/>
        <w:autoSpaceDN w:val="0"/>
        <w:adjustRightInd w:val="0"/>
        <w:spacing w:beforeLines="25" w:before="78" w:line="360" w:lineRule="auto"/>
        <w:ind w:firstLineChars="200" w:firstLine="482"/>
        <w:jc w:val="left"/>
        <w:outlineLvl w:val="0"/>
        <w:rPr>
          <w:rFonts w:ascii="Arial" w:hAnsi="Arial" w:cs="Arial"/>
          <w:b/>
          <w:color w:val="000000"/>
          <w:kern w:val="0"/>
          <w:sz w:val="24"/>
          <w:szCs w:val="24"/>
        </w:rPr>
      </w:pPr>
      <w:r w:rsidRPr="00350437">
        <w:rPr>
          <w:rFonts w:ascii="Arial" w:hAnsi="Arial" w:cs="Arial" w:hint="eastAsia"/>
          <w:b/>
          <w:color w:val="000000"/>
          <w:kern w:val="0"/>
          <w:sz w:val="24"/>
          <w:szCs w:val="24"/>
        </w:rPr>
        <w:t>六</w:t>
      </w:r>
      <w:r w:rsidR="008D24D4" w:rsidRPr="00350437">
        <w:rPr>
          <w:rFonts w:ascii="Arial" w:hAnsi="Arial" w:cs="Arial" w:hint="eastAsia"/>
          <w:b/>
          <w:color w:val="000000"/>
          <w:kern w:val="0"/>
          <w:sz w:val="24"/>
          <w:szCs w:val="24"/>
        </w:rPr>
        <w:t>、审议程序及相关意见</w:t>
      </w:r>
    </w:p>
    <w:p w:rsidR="005042A7" w:rsidRPr="00350437" w:rsidRDefault="005042A7" w:rsidP="004A2E99">
      <w:pPr>
        <w:autoSpaceDE w:val="0"/>
        <w:autoSpaceDN w:val="0"/>
        <w:adjustRightInd w:val="0"/>
        <w:spacing w:beforeLines="25" w:before="78" w:line="360" w:lineRule="auto"/>
        <w:ind w:firstLineChars="200" w:firstLine="482"/>
        <w:jc w:val="left"/>
        <w:outlineLvl w:val="1"/>
        <w:rPr>
          <w:rFonts w:ascii="Arial" w:hAnsi="Arial" w:cs="Arial"/>
          <w:b/>
          <w:color w:val="000000"/>
          <w:kern w:val="0"/>
          <w:sz w:val="24"/>
          <w:szCs w:val="24"/>
        </w:rPr>
      </w:pPr>
      <w:r w:rsidRPr="00350437">
        <w:rPr>
          <w:rFonts w:ascii="Arial" w:hAnsi="Arial" w:cs="Arial" w:hint="eastAsia"/>
          <w:b/>
          <w:color w:val="000000"/>
          <w:kern w:val="0"/>
          <w:sz w:val="24"/>
          <w:szCs w:val="24"/>
        </w:rPr>
        <w:t>（一）独立董事专门会议意见</w:t>
      </w:r>
    </w:p>
    <w:p w:rsidR="005042A7" w:rsidRPr="00350437" w:rsidRDefault="005042A7" w:rsidP="005042A7">
      <w:pPr>
        <w:spacing w:line="360" w:lineRule="auto"/>
        <w:ind w:firstLineChars="200" w:firstLine="480"/>
        <w:jc w:val="left"/>
        <w:rPr>
          <w:rFonts w:ascii="Arial" w:hAnsi="Times New Roman" w:cs="Arial"/>
          <w:color w:val="000000"/>
          <w:kern w:val="0"/>
          <w:sz w:val="24"/>
          <w:szCs w:val="24"/>
        </w:rPr>
      </w:pPr>
      <w:r w:rsidRPr="00350437">
        <w:rPr>
          <w:rFonts w:ascii="Arial" w:hAnsi="Times New Roman" w:cs="Arial" w:hint="eastAsia"/>
          <w:color w:val="000000"/>
          <w:kern w:val="0"/>
          <w:sz w:val="24"/>
          <w:szCs w:val="24"/>
        </w:rPr>
        <w:t>公司本次募集资金</w:t>
      </w:r>
      <w:r w:rsidRPr="00350437">
        <w:rPr>
          <w:rFonts w:ascii="Arial" w:hAnsi="Times New Roman" w:cs="Arial"/>
          <w:color w:val="000000"/>
          <w:kern w:val="0"/>
          <w:sz w:val="24"/>
          <w:szCs w:val="24"/>
        </w:rPr>
        <w:t>投资项目延期并</w:t>
      </w:r>
      <w:r w:rsidRPr="00350437">
        <w:rPr>
          <w:rFonts w:ascii="Arial" w:hAnsi="Times New Roman" w:cs="Arial" w:hint="eastAsia"/>
          <w:color w:val="000000"/>
          <w:kern w:val="0"/>
          <w:sz w:val="24"/>
          <w:szCs w:val="24"/>
        </w:rPr>
        <w:t>重新论证事项在提交董事会审议前已经第六届董事会独立董事第七次专门会议审议通过，独立董事认为：</w:t>
      </w:r>
    </w:p>
    <w:p w:rsidR="005042A7" w:rsidRPr="00350437" w:rsidRDefault="005042A7" w:rsidP="00C62326">
      <w:pPr>
        <w:widowControl/>
        <w:shd w:val="clear" w:color="auto" w:fill="FFFFFF"/>
        <w:spacing w:beforeLines="25" w:before="78" w:line="360" w:lineRule="auto"/>
        <w:ind w:firstLineChars="200" w:firstLine="480"/>
        <w:rPr>
          <w:rFonts w:ascii="Arial" w:hAnsi="Arial" w:cs="Arial"/>
          <w:sz w:val="24"/>
        </w:rPr>
      </w:pPr>
      <w:r w:rsidRPr="00350437">
        <w:rPr>
          <w:rFonts w:ascii="Arial" w:hAnsi="Arial" w:cs="Arial" w:hint="eastAsia"/>
          <w:sz w:val="24"/>
        </w:rPr>
        <w:t>公司本次募集资金</w:t>
      </w:r>
      <w:r w:rsidRPr="00350437">
        <w:rPr>
          <w:rFonts w:ascii="Arial" w:hAnsi="Arial" w:cs="Arial"/>
          <w:sz w:val="24"/>
        </w:rPr>
        <w:t>投资项目</w:t>
      </w:r>
      <w:r w:rsidRPr="00350437">
        <w:rPr>
          <w:rFonts w:ascii="Arial" w:hAnsi="Arial" w:cs="Arial" w:hint="eastAsia"/>
          <w:sz w:val="24"/>
        </w:rPr>
        <w:t>延期是基于项目的实际</w:t>
      </w:r>
      <w:r w:rsidRPr="00350437">
        <w:rPr>
          <w:rFonts w:ascii="Arial" w:hAnsi="Arial" w:cs="Arial"/>
          <w:sz w:val="24"/>
        </w:rPr>
        <w:t>推进</w:t>
      </w:r>
      <w:r w:rsidRPr="00350437">
        <w:rPr>
          <w:rFonts w:ascii="Arial" w:hAnsi="Arial" w:cs="Arial" w:hint="eastAsia"/>
          <w:sz w:val="24"/>
        </w:rPr>
        <w:t>情况，秉持审慎使用募集资金的原则，紧密结合公司发展战略，综合考量项目投资与运营成本、优化资源配置利用等多方面因素做出的审慎决定，不存在</w:t>
      </w:r>
      <w:r w:rsidRPr="00350437">
        <w:rPr>
          <w:rFonts w:ascii="Arial" w:hAnsi="Arial" w:cs="Arial"/>
          <w:sz w:val="24"/>
        </w:rPr>
        <w:t>变相改变募集资金投向和</w:t>
      </w:r>
      <w:r w:rsidRPr="00350437">
        <w:rPr>
          <w:rFonts w:ascii="Arial" w:hAnsi="Arial" w:cs="Arial" w:hint="eastAsia"/>
          <w:sz w:val="24"/>
        </w:rPr>
        <w:t>其他</w:t>
      </w:r>
      <w:r w:rsidRPr="00350437">
        <w:rPr>
          <w:rFonts w:ascii="Arial" w:hAnsi="Arial" w:cs="Arial"/>
          <w:sz w:val="24"/>
        </w:rPr>
        <w:t>损害股东利益的情形</w:t>
      </w:r>
      <w:r w:rsidRPr="00350437">
        <w:rPr>
          <w:rFonts w:ascii="Arial" w:hAnsi="Arial" w:cs="Arial" w:hint="eastAsia"/>
          <w:sz w:val="24"/>
        </w:rPr>
        <w:t>，</w:t>
      </w:r>
      <w:r w:rsidRPr="00350437">
        <w:rPr>
          <w:rFonts w:ascii="Arial" w:hAnsi="Arial" w:cs="Arial"/>
          <w:sz w:val="24"/>
        </w:rPr>
        <w:t>符合</w:t>
      </w:r>
      <w:r w:rsidRPr="00350437">
        <w:rPr>
          <w:rFonts w:ascii="Arial" w:hAnsi="Arial" w:cs="Arial" w:hint="eastAsia"/>
          <w:sz w:val="24"/>
        </w:rPr>
        <w:t>中国</w:t>
      </w:r>
      <w:r w:rsidRPr="00350437">
        <w:rPr>
          <w:rFonts w:ascii="Arial" w:hAnsi="Arial" w:cs="Arial"/>
          <w:sz w:val="24"/>
        </w:rPr>
        <w:t>证监会、</w:t>
      </w:r>
      <w:r w:rsidRPr="00350437">
        <w:rPr>
          <w:rFonts w:ascii="Arial" w:hAnsi="Arial" w:cs="Arial" w:hint="eastAsia"/>
          <w:sz w:val="24"/>
        </w:rPr>
        <w:t>深圳证券交易所</w:t>
      </w:r>
      <w:r w:rsidRPr="00350437">
        <w:rPr>
          <w:rFonts w:ascii="Arial" w:hAnsi="Arial" w:cs="Arial"/>
          <w:sz w:val="24"/>
        </w:rPr>
        <w:t>关于上市公司募集资金管理</w:t>
      </w:r>
      <w:r w:rsidRPr="00350437">
        <w:rPr>
          <w:rFonts w:ascii="Arial" w:hAnsi="Arial" w:cs="Arial" w:hint="eastAsia"/>
          <w:sz w:val="24"/>
        </w:rPr>
        <w:t>和</w:t>
      </w:r>
      <w:r w:rsidRPr="00350437">
        <w:rPr>
          <w:rFonts w:ascii="Arial" w:hAnsi="Arial" w:cs="Arial"/>
          <w:sz w:val="24"/>
        </w:rPr>
        <w:t>使用的相关规定</w:t>
      </w:r>
      <w:r w:rsidRPr="00350437">
        <w:rPr>
          <w:rFonts w:ascii="Arial" w:hAnsi="Arial" w:cs="Arial" w:hint="eastAsia"/>
          <w:sz w:val="24"/>
        </w:rPr>
        <w:t>。</w:t>
      </w:r>
      <w:r w:rsidRPr="00350437">
        <w:rPr>
          <w:rFonts w:ascii="Arial" w:hAnsi="Arial" w:cs="Arial"/>
          <w:sz w:val="24"/>
        </w:rPr>
        <w:t>不会对公司当前的生产经营造成重大影响</w:t>
      </w:r>
      <w:r w:rsidRPr="00350437">
        <w:rPr>
          <w:rFonts w:ascii="Arial" w:hAnsi="Arial" w:cs="Arial" w:hint="eastAsia"/>
          <w:sz w:val="24"/>
        </w:rPr>
        <w:t>，</w:t>
      </w:r>
      <w:r w:rsidRPr="00350437">
        <w:rPr>
          <w:rFonts w:ascii="Arial" w:hAnsi="Arial" w:cs="Arial"/>
          <w:sz w:val="24"/>
        </w:rPr>
        <w:t>符合公司长期发展利益和全体</w:t>
      </w:r>
      <w:r w:rsidRPr="00350437">
        <w:rPr>
          <w:rFonts w:ascii="Arial" w:hAnsi="Arial" w:cs="Arial" w:hint="eastAsia"/>
          <w:sz w:val="24"/>
        </w:rPr>
        <w:t>股东利益</w:t>
      </w:r>
      <w:r w:rsidRPr="00350437">
        <w:rPr>
          <w:rFonts w:ascii="Arial" w:hAnsi="Arial" w:cs="Arial"/>
          <w:sz w:val="24"/>
        </w:rPr>
        <w:t>。</w:t>
      </w:r>
    </w:p>
    <w:p w:rsidR="005042A7" w:rsidRPr="00350437" w:rsidRDefault="005042A7" w:rsidP="005042A7">
      <w:pPr>
        <w:spacing w:line="360" w:lineRule="auto"/>
        <w:ind w:firstLineChars="200" w:firstLine="480"/>
        <w:jc w:val="left"/>
        <w:rPr>
          <w:rFonts w:ascii="Arial" w:hAnsi="Arial" w:cs="Arial"/>
          <w:color w:val="000000"/>
          <w:kern w:val="0"/>
          <w:sz w:val="24"/>
          <w:szCs w:val="24"/>
        </w:rPr>
      </w:pPr>
      <w:r w:rsidRPr="00350437">
        <w:rPr>
          <w:rFonts w:ascii="Arial" w:hAnsi="Arial" w:cs="Arial" w:hint="eastAsia"/>
          <w:color w:val="000000"/>
          <w:kern w:val="0"/>
          <w:sz w:val="24"/>
          <w:szCs w:val="24"/>
        </w:rPr>
        <w:t>鉴于上述原因，我们同意</w:t>
      </w:r>
      <w:r w:rsidRPr="00350437">
        <w:rPr>
          <w:rFonts w:ascii="Arial" w:hAnsi="Arial" w:cs="Arial"/>
          <w:sz w:val="24"/>
        </w:rPr>
        <w:t>公司本次募集资金投资项目延期并重新论证事项</w:t>
      </w:r>
      <w:r w:rsidRPr="00350437">
        <w:rPr>
          <w:rFonts w:ascii="Arial" w:hAnsi="Arial" w:cs="Arial" w:hint="eastAsia"/>
          <w:color w:val="000000"/>
          <w:kern w:val="0"/>
          <w:sz w:val="24"/>
          <w:szCs w:val="24"/>
        </w:rPr>
        <w:t>，并同意将该事项提交公司第六届董事会第十三次会议审议。</w:t>
      </w:r>
    </w:p>
    <w:p w:rsidR="00FC20B4" w:rsidRPr="00350437" w:rsidRDefault="005042A7" w:rsidP="004A2E99">
      <w:pPr>
        <w:autoSpaceDE w:val="0"/>
        <w:autoSpaceDN w:val="0"/>
        <w:adjustRightInd w:val="0"/>
        <w:spacing w:beforeLines="25" w:before="78" w:line="360" w:lineRule="auto"/>
        <w:ind w:firstLineChars="200" w:firstLine="482"/>
        <w:jc w:val="left"/>
        <w:outlineLvl w:val="1"/>
        <w:rPr>
          <w:rFonts w:ascii="Arial" w:hAnsi="Arial" w:cs="Arial"/>
          <w:b/>
          <w:color w:val="000000"/>
          <w:kern w:val="0"/>
          <w:sz w:val="24"/>
          <w:szCs w:val="24"/>
        </w:rPr>
      </w:pPr>
      <w:r w:rsidRPr="00350437">
        <w:rPr>
          <w:rFonts w:ascii="Arial" w:hAnsi="Arial" w:cs="Arial" w:hint="eastAsia"/>
          <w:b/>
          <w:color w:val="000000"/>
          <w:kern w:val="0"/>
          <w:sz w:val="24"/>
          <w:szCs w:val="24"/>
        </w:rPr>
        <w:t>（二</w:t>
      </w:r>
      <w:r w:rsidR="00FC20B4" w:rsidRPr="00350437">
        <w:rPr>
          <w:rFonts w:ascii="Arial" w:hAnsi="Arial" w:cs="Arial"/>
          <w:b/>
          <w:color w:val="000000"/>
          <w:kern w:val="0"/>
          <w:sz w:val="24"/>
          <w:szCs w:val="24"/>
        </w:rPr>
        <w:t>）</w:t>
      </w:r>
      <w:r w:rsidR="00FC20B4" w:rsidRPr="00350437">
        <w:rPr>
          <w:rFonts w:ascii="Arial" w:hAnsi="Arial" w:cs="Arial" w:hint="eastAsia"/>
          <w:b/>
          <w:color w:val="000000"/>
          <w:kern w:val="0"/>
          <w:sz w:val="24"/>
          <w:szCs w:val="24"/>
        </w:rPr>
        <w:t>董事会</w:t>
      </w:r>
      <w:r w:rsidR="00FC20B4" w:rsidRPr="00350437">
        <w:rPr>
          <w:rFonts w:ascii="Arial" w:hAnsi="Arial" w:cs="Arial"/>
          <w:b/>
          <w:color w:val="000000"/>
          <w:kern w:val="0"/>
          <w:sz w:val="24"/>
          <w:szCs w:val="24"/>
        </w:rPr>
        <w:t>审议情况</w:t>
      </w:r>
    </w:p>
    <w:p w:rsidR="00AC00A4" w:rsidRPr="00350437" w:rsidRDefault="00AC00A4" w:rsidP="004A2E99">
      <w:pPr>
        <w:autoSpaceDE w:val="0"/>
        <w:autoSpaceDN w:val="0"/>
        <w:adjustRightInd w:val="0"/>
        <w:spacing w:line="360" w:lineRule="auto"/>
        <w:ind w:firstLineChars="200" w:firstLine="480"/>
        <w:jc w:val="left"/>
        <w:rPr>
          <w:rFonts w:ascii="Arial" w:hAnsi="Arial" w:cs="Arial"/>
          <w:sz w:val="24"/>
        </w:rPr>
      </w:pPr>
      <w:r w:rsidRPr="00350437">
        <w:rPr>
          <w:rFonts w:ascii="Arial" w:hAnsi="Arial" w:cs="Arial" w:hint="eastAsia"/>
          <w:sz w:val="24"/>
        </w:rPr>
        <w:t>公司于</w:t>
      </w:r>
      <w:r w:rsidRPr="00350437">
        <w:rPr>
          <w:rFonts w:ascii="Arial" w:hAnsi="Arial" w:cs="Arial"/>
          <w:sz w:val="24"/>
        </w:rPr>
        <w:t>2025</w:t>
      </w:r>
      <w:r w:rsidRPr="00350437">
        <w:rPr>
          <w:rFonts w:ascii="Arial" w:hAnsi="Arial" w:cs="Arial" w:hint="eastAsia"/>
          <w:sz w:val="24"/>
        </w:rPr>
        <w:t>年</w:t>
      </w:r>
      <w:r w:rsidRPr="00350437">
        <w:rPr>
          <w:rFonts w:ascii="Arial" w:hAnsi="Arial" w:cs="Arial"/>
          <w:sz w:val="24"/>
        </w:rPr>
        <w:t>7</w:t>
      </w:r>
      <w:r w:rsidRPr="00350437">
        <w:rPr>
          <w:rFonts w:ascii="Arial" w:hAnsi="Arial" w:cs="Arial" w:hint="eastAsia"/>
          <w:sz w:val="24"/>
        </w:rPr>
        <w:t>月</w:t>
      </w:r>
      <w:r w:rsidRPr="00350437">
        <w:rPr>
          <w:rFonts w:ascii="Arial" w:hAnsi="Arial" w:cs="Arial"/>
          <w:sz w:val="24"/>
        </w:rPr>
        <w:t>25</w:t>
      </w:r>
      <w:r w:rsidRPr="00350437">
        <w:rPr>
          <w:rFonts w:ascii="Arial" w:hAnsi="Arial" w:cs="Arial" w:hint="eastAsia"/>
          <w:sz w:val="24"/>
        </w:rPr>
        <w:t>日召开第六届董事会第十三次会议，审议通过了《关于公司募集资金</w:t>
      </w:r>
      <w:r w:rsidRPr="00350437">
        <w:rPr>
          <w:rFonts w:ascii="Arial" w:hAnsi="Arial" w:cs="Arial"/>
          <w:sz w:val="24"/>
        </w:rPr>
        <w:t>投资项目延期并重新论证</w:t>
      </w:r>
      <w:r w:rsidRPr="00350437">
        <w:rPr>
          <w:rFonts w:ascii="Arial" w:hAnsi="Arial" w:cs="Arial" w:hint="eastAsia"/>
          <w:sz w:val="24"/>
        </w:rPr>
        <w:t>的议案》，公司本次募集资金投资项目延期是基于项目的实际推进情况，秉持审慎使用募集资金的原则，紧密结合公司发展战略，综合考量项目投资与运营成本、优化资源配置利用等多方面因素做出的审慎决定，不存在变相改变募集资金投向和其他损害股东利益的情形，不会对公司当前的生产经营造成重大影响，符合中国证监会、深圳证券交易所关于上市公司募集资金管理和使用的相关规定。同意公司将“</w:t>
      </w:r>
      <w:r w:rsidRPr="00350437">
        <w:rPr>
          <w:rFonts w:ascii="Arial" w:eastAsiaTheme="minorEastAsia" w:hAnsi="Arial" w:cs="Arial" w:hint="eastAsia"/>
          <w:sz w:val="24"/>
          <w:szCs w:val="24"/>
        </w:rPr>
        <w:t>宝色（南通）高端特材装备智能制造项目”</w:t>
      </w:r>
      <w:r w:rsidRPr="00350437">
        <w:rPr>
          <w:rFonts w:ascii="Arial" w:eastAsiaTheme="minorEastAsia" w:hAnsi="Arial" w:cs="Arial"/>
          <w:sz w:val="24"/>
          <w:szCs w:val="24"/>
        </w:rPr>
        <w:t>预计达到可使用状态的时间</w:t>
      </w:r>
      <w:r w:rsidRPr="00350437">
        <w:rPr>
          <w:rFonts w:ascii="Arial" w:eastAsiaTheme="minorEastAsia" w:hAnsi="Arial" w:cs="Arial" w:hint="eastAsia"/>
          <w:sz w:val="24"/>
          <w:szCs w:val="24"/>
        </w:rPr>
        <w:t>由</w:t>
      </w:r>
      <w:r w:rsidRPr="00350437">
        <w:rPr>
          <w:rFonts w:ascii="Arial" w:eastAsiaTheme="minorEastAsia" w:hAnsi="Arial" w:cs="Arial" w:hint="eastAsia"/>
          <w:sz w:val="24"/>
          <w:szCs w:val="24"/>
        </w:rPr>
        <w:t>2025</w:t>
      </w:r>
      <w:r w:rsidRPr="00350437">
        <w:rPr>
          <w:rFonts w:ascii="Arial" w:eastAsiaTheme="minorEastAsia" w:hAnsi="Arial" w:cs="Arial" w:hint="eastAsia"/>
          <w:sz w:val="24"/>
          <w:szCs w:val="24"/>
        </w:rPr>
        <w:t>年</w:t>
      </w:r>
      <w:r w:rsidRPr="00350437">
        <w:rPr>
          <w:rFonts w:ascii="Arial" w:eastAsiaTheme="minorEastAsia" w:hAnsi="Arial" w:cs="Arial" w:hint="eastAsia"/>
          <w:sz w:val="24"/>
          <w:szCs w:val="24"/>
        </w:rPr>
        <w:t>8</w:t>
      </w:r>
      <w:r w:rsidRPr="00350437">
        <w:rPr>
          <w:rFonts w:ascii="Arial" w:eastAsiaTheme="minorEastAsia" w:hAnsi="Arial" w:cs="Arial" w:hint="eastAsia"/>
          <w:sz w:val="24"/>
          <w:szCs w:val="24"/>
        </w:rPr>
        <w:t>月</w:t>
      </w:r>
      <w:r w:rsidRPr="00350437">
        <w:rPr>
          <w:rFonts w:ascii="Arial" w:eastAsiaTheme="minorEastAsia" w:hAnsi="Arial" w:cs="Arial"/>
          <w:sz w:val="24"/>
          <w:szCs w:val="24"/>
        </w:rPr>
        <w:t>延期至</w:t>
      </w:r>
      <w:r w:rsidR="00933402" w:rsidRPr="00350437">
        <w:rPr>
          <w:rFonts w:ascii="Arial" w:eastAsiaTheme="minorEastAsia" w:hAnsi="Arial" w:cs="Arial" w:hint="eastAsia"/>
          <w:sz w:val="24"/>
          <w:szCs w:val="24"/>
        </w:rPr>
        <w:t>2028</w:t>
      </w:r>
      <w:r w:rsidR="00933402" w:rsidRPr="00350437">
        <w:rPr>
          <w:rFonts w:ascii="Arial" w:eastAsiaTheme="minorEastAsia" w:hAnsi="Arial" w:cs="Arial" w:hint="eastAsia"/>
          <w:sz w:val="24"/>
          <w:szCs w:val="24"/>
        </w:rPr>
        <w:t>年</w:t>
      </w:r>
      <w:r w:rsidR="00933402" w:rsidRPr="00350437">
        <w:rPr>
          <w:rFonts w:ascii="Arial" w:eastAsiaTheme="minorEastAsia" w:hAnsi="Arial" w:cs="Arial" w:hint="eastAsia"/>
          <w:sz w:val="24"/>
          <w:szCs w:val="24"/>
        </w:rPr>
        <w:t>12</w:t>
      </w:r>
      <w:r w:rsidRPr="00350437">
        <w:rPr>
          <w:rFonts w:ascii="Arial" w:eastAsiaTheme="minorEastAsia" w:hAnsi="Arial" w:cs="Arial" w:hint="eastAsia"/>
          <w:sz w:val="24"/>
          <w:szCs w:val="24"/>
        </w:rPr>
        <w:t>月并重新论证</w:t>
      </w:r>
      <w:r w:rsidRPr="00350437">
        <w:rPr>
          <w:rFonts w:ascii="Arial" w:eastAsiaTheme="minorEastAsia" w:hAnsi="Arial" w:cs="Arial"/>
          <w:sz w:val="24"/>
          <w:szCs w:val="24"/>
        </w:rPr>
        <w:t>事项。</w:t>
      </w:r>
    </w:p>
    <w:p w:rsidR="00FC20B4" w:rsidRPr="00350437" w:rsidRDefault="005042A7" w:rsidP="004A2E99">
      <w:pPr>
        <w:autoSpaceDE w:val="0"/>
        <w:autoSpaceDN w:val="0"/>
        <w:adjustRightInd w:val="0"/>
        <w:spacing w:beforeLines="25" w:before="78" w:line="360" w:lineRule="auto"/>
        <w:ind w:firstLineChars="200" w:firstLine="482"/>
        <w:jc w:val="left"/>
        <w:outlineLvl w:val="1"/>
        <w:rPr>
          <w:rFonts w:ascii="Arial" w:hAnsi="Arial" w:cs="Arial"/>
          <w:b/>
          <w:color w:val="000000"/>
          <w:kern w:val="0"/>
          <w:sz w:val="24"/>
          <w:szCs w:val="24"/>
        </w:rPr>
      </w:pPr>
      <w:r w:rsidRPr="00350437">
        <w:rPr>
          <w:rFonts w:ascii="Arial" w:hAnsi="Arial" w:cs="Arial" w:hint="eastAsia"/>
          <w:b/>
          <w:color w:val="000000"/>
          <w:kern w:val="0"/>
          <w:sz w:val="24"/>
          <w:szCs w:val="24"/>
        </w:rPr>
        <w:t>（三</w:t>
      </w:r>
      <w:r w:rsidR="00FC20B4" w:rsidRPr="00350437">
        <w:rPr>
          <w:rFonts w:ascii="Arial" w:hAnsi="Arial" w:cs="Arial"/>
          <w:b/>
          <w:color w:val="000000"/>
          <w:kern w:val="0"/>
          <w:sz w:val="24"/>
          <w:szCs w:val="24"/>
        </w:rPr>
        <w:t>）</w:t>
      </w:r>
      <w:r w:rsidR="00FC20B4" w:rsidRPr="00350437">
        <w:rPr>
          <w:rFonts w:ascii="Arial" w:hAnsi="Arial" w:cs="Arial" w:hint="eastAsia"/>
          <w:b/>
          <w:color w:val="000000"/>
          <w:kern w:val="0"/>
          <w:sz w:val="24"/>
          <w:szCs w:val="24"/>
        </w:rPr>
        <w:t>监事会</w:t>
      </w:r>
      <w:r w:rsidR="00FC20B4" w:rsidRPr="00350437">
        <w:rPr>
          <w:rFonts w:ascii="Arial" w:hAnsi="Arial" w:cs="Arial"/>
          <w:b/>
          <w:color w:val="000000"/>
          <w:kern w:val="0"/>
          <w:sz w:val="24"/>
          <w:szCs w:val="24"/>
        </w:rPr>
        <w:t>审议情况</w:t>
      </w:r>
    </w:p>
    <w:p w:rsidR="00AC6862" w:rsidRPr="00350437" w:rsidRDefault="00FC20B4" w:rsidP="00C62326">
      <w:pPr>
        <w:widowControl/>
        <w:shd w:val="clear" w:color="auto" w:fill="FFFFFF"/>
        <w:spacing w:beforeLines="25" w:before="78" w:line="360" w:lineRule="auto"/>
        <w:ind w:firstLineChars="200" w:firstLine="480"/>
        <w:rPr>
          <w:rFonts w:ascii="Arial" w:hAnsi="Arial" w:cs="Arial"/>
          <w:sz w:val="24"/>
        </w:rPr>
      </w:pPr>
      <w:r w:rsidRPr="00350437">
        <w:rPr>
          <w:rFonts w:ascii="Arial" w:hAnsi="Arial" w:cs="Arial" w:hint="eastAsia"/>
          <w:sz w:val="24"/>
        </w:rPr>
        <w:t>公司于</w:t>
      </w:r>
      <w:r w:rsidRPr="00350437">
        <w:rPr>
          <w:rFonts w:ascii="Arial" w:hAnsi="Arial" w:cs="Arial"/>
          <w:sz w:val="24"/>
        </w:rPr>
        <w:t>2025</w:t>
      </w:r>
      <w:r w:rsidRPr="00350437">
        <w:rPr>
          <w:rFonts w:ascii="Arial" w:hAnsi="Arial" w:cs="Arial" w:hint="eastAsia"/>
          <w:sz w:val="24"/>
        </w:rPr>
        <w:t>年</w:t>
      </w:r>
      <w:r w:rsidRPr="00350437">
        <w:rPr>
          <w:rFonts w:ascii="Arial" w:hAnsi="Arial" w:cs="Arial"/>
          <w:sz w:val="24"/>
        </w:rPr>
        <w:t>7</w:t>
      </w:r>
      <w:r w:rsidRPr="00350437">
        <w:rPr>
          <w:rFonts w:ascii="Arial" w:hAnsi="Arial" w:cs="Arial" w:hint="eastAsia"/>
          <w:sz w:val="24"/>
        </w:rPr>
        <w:t>月</w:t>
      </w:r>
      <w:r w:rsidRPr="00350437">
        <w:rPr>
          <w:rFonts w:ascii="Arial" w:hAnsi="Arial" w:cs="Arial"/>
          <w:sz w:val="24"/>
        </w:rPr>
        <w:t>25</w:t>
      </w:r>
      <w:r w:rsidRPr="00350437">
        <w:rPr>
          <w:rFonts w:ascii="Arial" w:hAnsi="Arial" w:cs="Arial" w:hint="eastAsia"/>
          <w:sz w:val="24"/>
        </w:rPr>
        <w:t>日召开第六届监事会第十一次会议，审议通过了《关于公司募集资金</w:t>
      </w:r>
      <w:r w:rsidRPr="00350437">
        <w:rPr>
          <w:rFonts w:ascii="Arial" w:hAnsi="Arial" w:cs="Arial"/>
          <w:sz w:val="24"/>
        </w:rPr>
        <w:t>投资项目延期并重新论证</w:t>
      </w:r>
      <w:r w:rsidRPr="00350437">
        <w:rPr>
          <w:rFonts w:ascii="Arial" w:hAnsi="Arial" w:cs="Arial" w:hint="eastAsia"/>
          <w:sz w:val="24"/>
        </w:rPr>
        <w:t>的议案》。监事会认为：公司本次募集资金</w:t>
      </w:r>
      <w:r w:rsidRPr="00350437">
        <w:rPr>
          <w:rFonts w:ascii="Arial" w:hAnsi="Arial" w:cs="Arial"/>
          <w:sz w:val="24"/>
        </w:rPr>
        <w:t>投资项目</w:t>
      </w:r>
      <w:r w:rsidRPr="00350437">
        <w:rPr>
          <w:rFonts w:ascii="Arial" w:hAnsi="Arial" w:cs="Arial" w:hint="eastAsia"/>
          <w:sz w:val="24"/>
        </w:rPr>
        <w:t>延期是基于项目的实际</w:t>
      </w:r>
      <w:r w:rsidRPr="00350437">
        <w:rPr>
          <w:rFonts w:ascii="Arial" w:hAnsi="Arial" w:cs="Arial"/>
          <w:sz w:val="24"/>
        </w:rPr>
        <w:t>推进</w:t>
      </w:r>
      <w:r w:rsidRPr="00350437">
        <w:rPr>
          <w:rFonts w:ascii="Arial" w:hAnsi="Arial" w:cs="Arial" w:hint="eastAsia"/>
          <w:sz w:val="24"/>
        </w:rPr>
        <w:t>情况，秉持审慎使用募集资金的原则，紧密结合公司发展战略，综合考量项目投资与运营成本、优化资源配置利用等多方面因素做出的审慎决定，</w:t>
      </w:r>
      <w:r w:rsidR="005042A7" w:rsidRPr="00350437">
        <w:rPr>
          <w:rFonts w:ascii="Arial" w:hAnsi="Arial" w:cs="Arial" w:hint="eastAsia"/>
          <w:sz w:val="24"/>
        </w:rPr>
        <w:t>不存在</w:t>
      </w:r>
      <w:r w:rsidRPr="00350437">
        <w:rPr>
          <w:rFonts w:ascii="Arial" w:hAnsi="Arial" w:cs="Arial"/>
          <w:sz w:val="24"/>
        </w:rPr>
        <w:t>变相改变募集资金投向和</w:t>
      </w:r>
      <w:r w:rsidRPr="00350437">
        <w:rPr>
          <w:rFonts w:ascii="Arial" w:hAnsi="Arial" w:cs="Arial" w:hint="eastAsia"/>
          <w:sz w:val="24"/>
        </w:rPr>
        <w:t>其他</w:t>
      </w:r>
      <w:r w:rsidRPr="00350437">
        <w:rPr>
          <w:rFonts w:ascii="Arial" w:hAnsi="Arial" w:cs="Arial"/>
          <w:sz w:val="24"/>
        </w:rPr>
        <w:t>损害股东利益的情形</w:t>
      </w:r>
      <w:r w:rsidRPr="00350437">
        <w:rPr>
          <w:rFonts w:ascii="Arial" w:hAnsi="Arial" w:cs="Arial" w:hint="eastAsia"/>
          <w:sz w:val="24"/>
        </w:rPr>
        <w:t>，</w:t>
      </w:r>
      <w:r w:rsidRPr="00350437">
        <w:rPr>
          <w:rFonts w:ascii="Arial" w:hAnsi="Arial" w:cs="Arial"/>
          <w:sz w:val="24"/>
        </w:rPr>
        <w:t>不会对公司当前的生产经营造成重大影响</w:t>
      </w:r>
      <w:r w:rsidR="005042A7" w:rsidRPr="00350437">
        <w:rPr>
          <w:rFonts w:ascii="Arial" w:hAnsi="Arial" w:cs="Arial" w:hint="eastAsia"/>
          <w:sz w:val="24"/>
        </w:rPr>
        <w:t>，</w:t>
      </w:r>
      <w:r w:rsidR="00AC6862" w:rsidRPr="00350437">
        <w:rPr>
          <w:rFonts w:ascii="Arial" w:hAnsi="Arial" w:cs="Arial"/>
          <w:sz w:val="24"/>
        </w:rPr>
        <w:t>符合</w:t>
      </w:r>
      <w:r w:rsidR="00AC6862" w:rsidRPr="00350437">
        <w:rPr>
          <w:rFonts w:ascii="Arial" w:hAnsi="Arial" w:cs="Arial" w:hint="eastAsia"/>
          <w:sz w:val="24"/>
        </w:rPr>
        <w:t>中国</w:t>
      </w:r>
      <w:r w:rsidR="00AC6862" w:rsidRPr="00350437">
        <w:rPr>
          <w:rFonts w:ascii="Arial" w:hAnsi="Arial" w:cs="Arial"/>
          <w:sz w:val="24"/>
        </w:rPr>
        <w:t>证监会、</w:t>
      </w:r>
      <w:r w:rsidR="00AC6862" w:rsidRPr="00350437">
        <w:rPr>
          <w:rFonts w:ascii="Arial" w:hAnsi="Arial" w:cs="Arial" w:hint="eastAsia"/>
          <w:sz w:val="24"/>
        </w:rPr>
        <w:t>深圳证券交易所</w:t>
      </w:r>
      <w:r w:rsidR="00AC6862" w:rsidRPr="00350437">
        <w:rPr>
          <w:rFonts w:ascii="Arial" w:hAnsi="Arial" w:cs="Arial"/>
          <w:sz w:val="24"/>
        </w:rPr>
        <w:t>关于上市公司募集资金管理</w:t>
      </w:r>
      <w:r w:rsidR="00AC6862" w:rsidRPr="00350437">
        <w:rPr>
          <w:rFonts w:ascii="Arial" w:hAnsi="Arial" w:cs="Arial" w:hint="eastAsia"/>
          <w:sz w:val="24"/>
        </w:rPr>
        <w:t>和</w:t>
      </w:r>
      <w:r w:rsidR="00AC6862" w:rsidRPr="00350437">
        <w:rPr>
          <w:rFonts w:ascii="Arial" w:hAnsi="Arial" w:cs="Arial"/>
          <w:sz w:val="24"/>
        </w:rPr>
        <w:t>使用的相关规定。因此</w:t>
      </w:r>
      <w:r w:rsidR="00AC6862" w:rsidRPr="00350437">
        <w:rPr>
          <w:rFonts w:ascii="Arial" w:hAnsi="Arial" w:cs="Arial" w:hint="eastAsia"/>
          <w:sz w:val="24"/>
        </w:rPr>
        <w:t>，</w:t>
      </w:r>
      <w:r w:rsidR="00AC6862" w:rsidRPr="00350437">
        <w:rPr>
          <w:rFonts w:ascii="Arial" w:hAnsi="Arial" w:cs="Arial"/>
          <w:sz w:val="24"/>
        </w:rPr>
        <w:t>同意公司本次募集资金投资项目延期并重新论证事项</w:t>
      </w:r>
      <w:r w:rsidR="00AC6862" w:rsidRPr="00350437">
        <w:rPr>
          <w:rFonts w:ascii="Arial" w:hAnsi="Arial" w:cs="Arial" w:hint="eastAsia"/>
          <w:sz w:val="24"/>
        </w:rPr>
        <w:t>。</w:t>
      </w:r>
    </w:p>
    <w:p w:rsidR="00706954" w:rsidRPr="00350437" w:rsidRDefault="008D24D4" w:rsidP="004A2E99">
      <w:pPr>
        <w:autoSpaceDE w:val="0"/>
        <w:autoSpaceDN w:val="0"/>
        <w:adjustRightInd w:val="0"/>
        <w:spacing w:beforeLines="25" w:before="78" w:line="360" w:lineRule="auto"/>
        <w:ind w:firstLineChars="200" w:firstLine="482"/>
        <w:jc w:val="left"/>
        <w:outlineLvl w:val="1"/>
        <w:rPr>
          <w:rFonts w:ascii="Arial" w:hAnsi="Arial" w:cs="Arial"/>
          <w:b/>
          <w:color w:val="000000"/>
          <w:kern w:val="0"/>
          <w:sz w:val="24"/>
          <w:szCs w:val="24"/>
        </w:rPr>
      </w:pPr>
      <w:r w:rsidRPr="00350437">
        <w:rPr>
          <w:rFonts w:ascii="Arial" w:hAnsi="Arial" w:cs="Arial" w:hint="eastAsia"/>
          <w:b/>
          <w:color w:val="000000"/>
          <w:kern w:val="0"/>
          <w:sz w:val="24"/>
          <w:szCs w:val="24"/>
        </w:rPr>
        <w:t>（四）保荐人核查意见</w:t>
      </w:r>
    </w:p>
    <w:p w:rsidR="00A02657" w:rsidRPr="00350437" w:rsidRDefault="008D24D4" w:rsidP="00A02657">
      <w:pPr>
        <w:widowControl/>
        <w:shd w:val="clear" w:color="auto" w:fill="FFFFFF"/>
        <w:spacing w:beforeLines="25" w:before="78" w:line="360" w:lineRule="auto"/>
        <w:ind w:firstLineChars="200" w:firstLine="480"/>
        <w:rPr>
          <w:rFonts w:ascii="Arial" w:hAnsi="Arial" w:cs="Arial"/>
          <w:sz w:val="24"/>
        </w:rPr>
      </w:pPr>
      <w:r w:rsidRPr="00350437">
        <w:rPr>
          <w:rFonts w:ascii="Arial" w:hAnsi="Arial" w:cs="Arial" w:hint="eastAsia"/>
          <w:sz w:val="24"/>
        </w:rPr>
        <w:t>经核查，保荐人认为：</w:t>
      </w:r>
      <w:r w:rsidR="00A02657" w:rsidRPr="00350437">
        <w:rPr>
          <w:rFonts w:ascii="Arial" w:hAnsi="Arial" w:cs="Arial" w:hint="eastAsia"/>
          <w:sz w:val="24"/>
        </w:rPr>
        <w:t>公司募投项目延期及重新论证符合《上市公司募集资金监管规则》《深圳证券交易所创业板股票上市规则》《深圳证券交易所上市公司自律监管指引第</w:t>
      </w:r>
      <w:r w:rsidR="00A02657" w:rsidRPr="00350437">
        <w:rPr>
          <w:rFonts w:ascii="Arial" w:hAnsi="Arial" w:cs="Arial" w:hint="eastAsia"/>
          <w:sz w:val="24"/>
        </w:rPr>
        <w:t xml:space="preserve"> 2 </w:t>
      </w:r>
      <w:r w:rsidR="00A02657" w:rsidRPr="00350437">
        <w:rPr>
          <w:rFonts w:ascii="Arial" w:hAnsi="Arial" w:cs="Arial" w:hint="eastAsia"/>
          <w:sz w:val="24"/>
        </w:rPr>
        <w:t>号——创业板上市公司规范运作》等有关法律法规和规范性文件的相关规定。综上，保荐人对公司本次募投项目延期及重新论证无异议。</w:t>
      </w:r>
    </w:p>
    <w:p w:rsidR="00706954" w:rsidRPr="00350437" w:rsidRDefault="005042A7" w:rsidP="004A2E99">
      <w:pPr>
        <w:widowControl/>
        <w:shd w:val="clear" w:color="auto" w:fill="FFFFFF"/>
        <w:spacing w:beforeLines="25" w:before="78" w:line="360" w:lineRule="auto"/>
        <w:ind w:firstLineChars="200" w:firstLine="482"/>
        <w:outlineLvl w:val="0"/>
        <w:rPr>
          <w:rFonts w:ascii="Arial" w:hAnsi="Arial" w:cs="Arial"/>
          <w:sz w:val="24"/>
        </w:rPr>
      </w:pPr>
      <w:r w:rsidRPr="00350437">
        <w:rPr>
          <w:rFonts w:ascii="Times New Roman" w:hAnsi="宋体" w:hint="eastAsia"/>
          <w:b/>
          <w:color w:val="000000"/>
          <w:sz w:val="24"/>
        </w:rPr>
        <w:t>七、备查文件</w:t>
      </w:r>
    </w:p>
    <w:p w:rsidR="005042A7" w:rsidRPr="00350437" w:rsidRDefault="005042A7" w:rsidP="005042A7">
      <w:pPr>
        <w:spacing w:line="360" w:lineRule="auto"/>
        <w:ind w:firstLine="482"/>
        <w:rPr>
          <w:rFonts w:ascii="Arial" w:hAnsi="Times New Roman" w:cs="Arial"/>
          <w:color w:val="000000"/>
          <w:kern w:val="0"/>
          <w:sz w:val="24"/>
          <w:szCs w:val="24"/>
        </w:rPr>
      </w:pPr>
      <w:r w:rsidRPr="00350437">
        <w:rPr>
          <w:rFonts w:ascii="Arial" w:hAnsi="Times New Roman" w:cs="Arial"/>
          <w:color w:val="000000"/>
          <w:kern w:val="0"/>
          <w:sz w:val="24"/>
          <w:szCs w:val="24"/>
        </w:rPr>
        <w:t>1</w:t>
      </w:r>
      <w:r w:rsidRPr="00350437">
        <w:rPr>
          <w:rFonts w:ascii="Arial" w:hAnsi="Times New Roman" w:cs="Arial" w:hint="eastAsia"/>
          <w:color w:val="000000"/>
          <w:kern w:val="0"/>
          <w:sz w:val="24"/>
          <w:szCs w:val="24"/>
        </w:rPr>
        <w:t>、第六届董事会独立董事第七次专门会议决议；</w:t>
      </w:r>
    </w:p>
    <w:p w:rsidR="005042A7" w:rsidRPr="00350437" w:rsidRDefault="005042A7" w:rsidP="005042A7">
      <w:pPr>
        <w:spacing w:line="360" w:lineRule="auto"/>
        <w:ind w:firstLine="482"/>
        <w:rPr>
          <w:rFonts w:ascii="Arial" w:hAnsi="Times New Roman" w:cs="Arial"/>
          <w:color w:val="000000"/>
          <w:kern w:val="0"/>
          <w:sz w:val="24"/>
          <w:szCs w:val="24"/>
        </w:rPr>
      </w:pPr>
      <w:r w:rsidRPr="00350437">
        <w:rPr>
          <w:rFonts w:ascii="Arial" w:hAnsi="Times New Roman" w:cs="Arial"/>
          <w:color w:val="000000"/>
          <w:kern w:val="0"/>
          <w:sz w:val="24"/>
          <w:szCs w:val="24"/>
        </w:rPr>
        <w:t>2</w:t>
      </w:r>
      <w:r w:rsidRPr="00350437">
        <w:rPr>
          <w:rFonts w:ascii="Arial" w:hAnsi="Times New Roman" w:cs="Arial" w:hint="eastAsia"/>
          <w:color w:val="000000"/>
          <w:kern w:val="0"/>
          <w:sz w:val="24"/>
          <w:szCs w:val="24"/>
        </w:rPr>
        <w:t>、</w:t>
      </w:r>
      <w:r w:rsidRPr="00350437">
        <w:rPr>
          <w:rFonts w:ascii="Arial" w:hAnsi="Times New Roman" w:cs="Arial"/>
          <w:color w:val="000000"/>
          <w:kern w:val="0"/>
          <w:sz w:val="24"/>
          <w:szCs w:val="24"/>
        </w:rPr>
        <w:t>第</w:t>
      </w:r>
      <w:r w:rsidRPr="00350437">
        <w:rPr>
          <w:rFonts w:ascii="Arial" w:hAnsi="Times New Roman" w:cs="Arial" w:hint="eastAsia"/>
          <w:color w:val="000000"/>
          <w:kern w:val="0"/>
          <w:sz w:val="24"/>
          <w:szCs w:val="24"/>
        </w:rPr>
        <w:t>六</w:t>
      </w:r>
      <w:r w:rsidRPr="00350437">
        <w:rPr>
          <w:rFonts w:ascii="Arial" w:hAnsi="Times New Roman" w:cs="Arial"/>
          <w:color w:val="000000"/>
          <w:kern w:val="0"/>
          <w:sz w:val="24"/>
          <w:szCs w:val="24"/>
        </w:rPr>
        <w:t>届董事会第</w:t>
      </w:r>
      <w:r w:rsidRPr="00350437">
        <w:rPr>
          <w:rFonts w:ascii="Arial" w:hAnsi="Times New Roman" w:cs="Arial" w:hint="eastAsia"/>
          <w:color w:val="000000"/>
          <w:kern w:val="0"/>
          <w:sz w:val="24"/>
          <w:szCs w:val="24"/>
        </w:rPr>
        <w:t>十三</w:t>
      </w:r>
      <w:r w:rsidRPr="00350437">
        <w:rPr>
          <w:rFonts w:ascii="Arial" w:hAnsi="Times New Roman" w:cs="Arial"/>
          <w:color w:val="000000"/>
          <w:kern w:val="0"/>
          <w:sz w:val="24"/>
          <w:szCs w:val="24"/>
        </w:rPr>
        <w:t>次会议决议；</w:t>
      </w:r>
    </w:p>
    <w:p w:rsidR="005042A7" w:rsidRPr="00350437" w:rsidRDefault="005042A7" w:rsidP="005042A7">
      <w:pPr>
        <w:autoSpaceDE w:val="0"/>
        <w:autoSpaceDN w:val="0"/>
        <w:spacing w:line="360" w:lineRule="auto"/>
        <w:ind w:firstLineChars="200" w:firstLine="480"/>
        <w:jc w:val="left"/>
        <w:rPr>
          <w:rFonts w:ascii="Arial" w:hAnsi="Times New Roman" w:cs="Arial"/>
          <w:color w:val="000000"/>
          <w:kern w:val="0"/>
          <w:sz w:val="24"/>
          <w:szCs w:val="24"/>
        </w:rPr>
      </w:pPr>
      <w:r w:rsidRPr="00350437">
        <w:rPr>
          <w:rFonts w:ascii="Arial" w:hAnsi="Arial" w:cs="Arial"/>
          <w:color w:val="000000"/>
          <w:kern w:val="0"/>
          <w:sz w:val="24"/>
          <w:szCs w:val="24"/>
        </w:rPr>
        <w:t>3</w:t>
      </w:r>
      <w:r w:rsidRPr="00350437">
        <w:rPr>
          <w:rFonts w:ascii="Arial" w:hAnsi="Times New Roman" w:cs="Arial"/>
          <w:color w:val="000000"/>
          <w:kern w:val="0"/>
          <w:sz w:val="24"/>
          <w:szCs w:val="24"/>
        </w:rPr>
        <w:t>、第</w:t>
      </w:r>
      <w:r w:rsidRPr="00350437">
        <w:rPr>
          <w:rFonts w:ascii="Arial" w:hAnsi="Times New Roman" w:cs="Arial" w:hint="eastAsia"/>
          <w:color w:val="000000"/>
          <w:kern w:val="0"/>
          <w:sz w:val="24"/>
          <w:szCs w:val="24"/>
        </w:rPr>
        <w:t>六</w:t>
      </w:r>
      <w:r w:rsidRPr="00350437">
        <w:rPr>
          <w:rFonts w:ascii="Arial" w:hAnsi="Times New Roman" w:cs="Arial"/>
          <w:color w:val="000000"/>
          <w:kern w:val="0"/>
          <w:sz w:val="24"/>
          <w:szCs w:val="24"/>
        </w:rPr>
        <w:t>届监事会第十</w:t>
      </w:r>
      <w:r w:rsidRPr="00350437">
        <w:rPr>
          <w:rFonts w:ascii="Arial" w:hAnsi="Times New Roman" w:cs="Arial" w:hint="eastAsia"/>
          <w:color w:val="000000"/>
          <w:kern w:val="0"/>
          <w:sz w:val="24"/>
          <w:szCs w:val="24"/>
        </w:rPr>
        <w:t>一</w:t>
      </w:r>
      <w:r w:rsidRPr="00350437">
        <w:rPr>
          <w:rFonts w:ascii="Arial" w:hAnsi="Times New Roman" w:cs="Arial"/>
          <w:color w:val="000000"/>
          <w:kern w:val="0"/>
          <w:sz w:val="24"/>
          <w:szCs w:val="24"/>
        </w:rPr>
        <w:t>次会议决议；</w:t>
      </w:r>
    </w:p>
    <w:p w:rsidR="00A02657" w:rsidRPr="00350437" w:rsidRDefault="005042A7" w:rsidP="005042A7">
      <w:pPr>
        <w:autoSpaceDE w:val="0"/>
        <w:autoSpaceDN w:val="0"/>
        <w:spacing w:line="360" w:lineRule="auto"/>
        <w:ind w:firstLineChars="200" w:firstLine="480"/>
        <w:jc w:val="left"/>
        <w:rPr>
          <w:rFonts w:ascii="Arial" w:hAnsi="Times New Roman" w:cs="Arial"/>
          <w:color w:val="000000"/>
          <w:kern w:val="0"/>
          <w:sz w:val="24"/>
          <w:szCs w:val="24"/>
        </w:rPr>
      </w:pPr>
      <w:r w:rsidRPr="00350437">
        <w:rPr>
          <w:rFonts w:ascii="Arial" w:hAnsi="Times New Roman" w:cs="Arial" w:hint="eastAsia"/>
          <w:color w:val="000000"/>
          <w:kern w:val="0"/>
          <w:sz w:val="24"/>
          <w:szCs w:val="24"/>
        </w:rPr>
        <w:t>4</w:t>
      </w:r>
      <w:r w:rsidRPr="00350437">
        <w:rPr>
          <w:rFonts w:ascii="Arial" w:hAnsi="Times New Roman" w:cs="Arial" w:hint="eastAsia"/>
          <w:color w:val="000000"/>
          <w:kern w:val="0"/>
          <w:sz w:val="24"/>
          <w:szCs w:val="24"/>
        </w:rPr>
        <w:t>、</w:t>
      </w:r>
      <w:r w:rsidR="00A02657" w:rsidRPr="00350437">
        <w:rPr>
          <w:rFonts w:ascii="Arial" w:hAnsi="Times New Roman" w:cs="Arial" w:hint="eastAsia"/>
          <w:color w:val="000000"/>
          <w:kern w:val="0"/>
          <w:sz w:val="24"/>
          <w:szCs w:val="24"/>
        </w:rPr>
        <w:t>华泰联合证券有限责任公司关于南京宝色股份公司募集资金投资项目延期并重新论证的核查意见。</w:t>
      </w:r>
    </w:p>
    <w:p w:rsidR="0047337E" w:rsidRPr="00350437" w:rsidRDefault="0047337E">
      <w:pPr>
        <w:autoSpaceDE w:val="0"/>
        <w:autoSpaceDN w:val="0"/>
        <w:spacing w:line="360" w:lineRule="auto"/>
        <w:ind w:firstLineChars="200" w:firstLine="480"/>
        <w:jc w:val="left"/>
        <w:rPr>
          <w:rFonts w:ascii="Arial" w:hAnsi="Times New Roman" w:cs="Arial"/>
          <w:color w:val="000000"/>
          <w:kern w:val="0"/>
          <w:sz w:val="24"/>
          <w:szCs w:val="24"/>
        </w:rPr>
      </w:pPr>
      <w:r w:rsidRPr="00350437">
        <w:rPr>
          <w:rFonts w:ascii="Arial" w:hAnsi="Times New Roman" w:cs="Arial"/>
          <w:color w:val="000000"/>
          <w:kern w:val="0"/>
          <w:sz w:val="24"/>
          <w:szCs w:val="24"/>
        </w:rPr>
        <w:t>特此公告。</w:t>
      </w:r>
    </w:p>
    <w:p w:rsidR="005042A7" w:rsidRPr="00350437" w:rsidRDefault="005042A7">
      <w:pPr>
        <w:spacing w:line="360" w:lineRule="auto"/>
        <w:ind w:firstLine="482"/>
        <w:jc w:val="right"/>
        <w:rPr>
          <w:rFonts w:ascii="Arial" w:hAnsi="Times New Roman" w:cs="Arial"/>
          <w:color w:val="000000"/>
          <w:kern w:val="0"/>
          <w:sz w:val="24"/>
          <w:szCs w:val="24"/>
        </w:rPr>
      </w:pPr>
    </w:p>
    <w:p w:rsidR="00B43062" w:rsidRPr="00350437" w:rsidRDefault="00BB16D4">
      <w:pPr>
        <w:spacing w:line="360" w:lineRule="auto"/>
        <w:ind w:firstLine="482"/>
        <w:jc w:val="right"/>
        <w:rPr>
          <w:rFonts w:ascii="Arial" w:hAnsi="Arial" w:cs="Arial"/>
          <w:color w:val="000000"/>
          <w:kern w:val="0"/>
          <w:sz w:val="24"/>
          <w:szCs w:val="24"/>
        </w:rPr>
      </w:pPr>
      <w:bookmarkStart w:id="6" w:name="_GoBack"/>
      <w:bookmarkEnd w:id="6"/>
      <w:r w:rsidRPr="00350437">
        <w:rPr>
          <w:rFonts w:ascii="Arial" w:hAnsi="Times New Roman" w:cs="Arial"/>
          <w:color w:val="000000"/>
          <w:kern w:val="0"/>
          <w:sz w:val="24"/>
          <w:szCs w:val="24"/>
        </w:rPr>
        <w:t>南京宝色股份公司董事会</w:t>
      </w:r>
    </w:p>
    <w:p w:rsidR="00B43062" w:rsidRDefault="00BB16D4">
      <w:pPr>
        <w:spacing w:line="360" w:lineRule="auto"/>
        <w:ind w:firstLineChars="2350" w:firstLine="5640"/>
        <w:jc w:val="right"/>
        <w:rPr>
          <w:rFonts w:ascii="Arial" w:hAnsi="Arial" w:cs="Arial"/>
          <w:sz w:val="24"/>
          <w:szCs w:val="24"/>
        </w:rPr>
      </w:pPr>
      <w:r w:rsidRPr="00350437">
        <w:rPr>
          <w:rFonts w:ascii="Arial" w:hAnsi="Arial" w:cs="Arial"/>
          <w:color w:val="000000"/>
          <w:kern w:val="0"/>
          <w:sz w:val="24"/>
          <w:szCs w:val="24"/>
        </w:rPr>
        <w:t>2025</w:t>
      </w:r>
      <w:r w:rsidRPr="00350437">
        <w:rPr>
          <w:rFonts w:ascii="Arial" w:hAnsi="Arial" w:cs="Arial" w:hint="eastAsia"/>
          <w:color w:val="000000"/>
          <w:kern w:val="0"/>
          <w:sz w:val="24"/>
          <w:szCs w:val="24"/>
        </w:rPr>
        <w:t>年</w:t>
      </w:r>
      <w:r w:rsidR="0047337E" w:rsidRPr="00350437">
        <w:rPr>
          <w:rFonts w:ascii="Arial" w:hAnsi="Arial" w:cs="Arial"/>
          <w:color w:val="000000"/>
          <w:kern w:val="0"/>
          <w:sz w:val="24"/>
          <w:szCs w:val="24"/>
        </w:rPr>
        <w:t>7</w:t>
      </w:r>
      <w:r w:rsidRPr="00350437">
        <w:rPr>
          <w:rFonts w:ascii="Arial" w:hAnsi="Arial" w:cs="Arial" w:hint="eastAsia"/>
          <w:color w:val="000000"/>
          <w:kern w:val="0"/>
          <w:sz w:val="24"/>
          <w:szCs w:val="24"/>
        </w:rPr>
        <w:t>月</w:t>
      </w:r>
      <w:r w:rsidR="00AC6862" w:rsidRPr="00350437">
        <w:rPr>
          <w:rFonts w:ascii="Arial" w:hAnsi="Arial" w:cs="Arial"/>
          <w:color w:val="000000"/>
          <w:kern w:val="0"/>
          <w:sz w:val="24"/>
          <w:szCs w:val="24"/>
        </w:rPr>
        <w:t>2</w:t>
      </w:r>
      <w:r w:rsidR="00F32CC7" w:rsidRPr="00350437">
        <w:rPr>
          <w:rFonts w:ascii="Arial" w:hAnsi="Arial" w:cs="Arial"/>
          <w:color w:val="000000"/>
          <w:kern w:val="0"/>
          <w:sz w:val="24"/>
          <w:szCs w:val="24"/>
        </w:rPr>
        <w:t>8</w:t>
      </w:r>
      <w:r w:rsidRPr="00350437">
        <w:rPr>
          <w:rFonts w:ascii="Arial" w:hAnsi="Arial" w:cs="Arial" w:hint="eastAsia"/>
          <w:color w:val="000000"/>
          <w:kern w:val="0"/>
          <w:sz w:val="24"/>
          <w:szCs w:val="24"/>
        </w:rPr>
        <w:t>日</w:t>
      </w:r>
    </w:p>
    <w:sectPr w:rsidR="00B43062" w:rsidSect="005663B8">
      <w:headerReference w:type="default" r:id="rId7"/>
      <w:footerReference w:type="default" r:id="rId8"/>
      <w:pgSz w:w="11906" w:h="16838"/>
      <w:pgMar w:top="1440" w:right="1588" w:bottom="1440" w:left="1588" w:header="1021" w:footer="107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55D" w:rsidRDefault="0003055D">
      <w:r>
        <w:separator/>
      </w:r>
    </w:p>
  </w:endnote>
  <w:endnote w:type="continuationSeparator" w:id="0">
    <w:p w:rsidR="0003055D" w:rsidRDefault="0003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62" w:rsidRDefault="00EE7DD6">
    <w:pPr>
      <w:pStyle w:val="ab"/>
      <w:jc w:val="center"/>
      <w:rPr>
        <w:rFonts w:ascii="Times New Roman" w:hAnsi="Times New Roman"/>
        <w:sz w:val="21"/>
        <w:szCs w:val="21"/>
      </w:rPr>
    </w:pPr>
    <w:r>
      <w:rPr>
        <w:rFonts w:ascii="Times New Roman" w:hAnsi="Times New Roman"/>
        <w:sz w:val="21"/>
        <w:szCs w:val="21"/>
      </w:rPr>
      <w:fldChar w:fldCharType="begin"/>
    </w:r>
    <w:r w:rsidR="00BB16D4">
      <w:rPr>
        <w:rFonts w:ascii="Times New Roman" w:hAnsi="Times New Roman"/>
        <w:sz w:val="21"/>
        <w:szCs w:val="21"/>
      </w:rPr>
      <w:instrText>PAGE   \* MERGEFORMAT</w:instrText>
    </w:r>
    <w:r>
      <w:rPr>
        <w:rFonts w:ascii="Times New Roman" w:hAnsi="Times New Roman"/>
        <w:sz w:val="21"/>
        <w:szCs w:val="21"/>
      </w:rPr>
      <w:fldChar w:fldCharType="separate"/>
    </w:r>
    <w:r w:rsidR="0003055D" w:rsidRPr="0003055D">
      <w:rPr>
        <w:rFonts w:ascii="Times New Roman" w:hAnsi="Times New Roman"/>
        <w:noProof/>
        <w:sz w:val="21"/>
        <w:szCs w:val="21"/>
        <w:lang w:val="zh-CN"/>
      </w:rPr>
      <w:t>1</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55D" w:rsidRDefault="0003055D">
      <w:r>
        <w:separator/>
      </w:r>
    </w:p>
  </w:footnote>
  <w:footnote w:type="continuationSeparator" w:id="0">
    <w:p w:rsidR="0003055D" w:rsidRDefault="0003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62" w:rsidRDefault="00B43062">
    <w:pPr>
      <w:pStyle w:val="ad"/>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mYmUxNzk2ZjQ1YTMyZjJiNzdhYjVmODU2Mjk3MmEifQ=="/>
    <w:docVar w:name="KSO_WPS_MARK_KEY" w:val="d26dbdf7-e76d-428e-9bbf-700851bb65d7"/>
  </w:docVars>
  <w:rsids>
    <w:rsidRoot w:val="00A77F4B"/>
    <w:rsid w:val="00005D13"/>
    <w:rsid w:val="000120EB"/>
    <w:rsid w:val="00012C16"/>
    <w:rsid w:val="00013483"/>
    <w:rsid w:val="00020068"/>
    <w:rsid w:val="000270E7"/>
    <w:rsid w:val="0003055D"/>
    <w:rsid w:val="00034980"/>
    <w:rsid w:val="000509B9"/>
    <w:rsid w:val="00053049"/>
    <w:rsid w:val="00054947"/>
    <w:rsid w:val="0006328B"/>
    <w:rsid w:val="00063306"/>
    <w:rsid w:val="00063F29"/>
    <w:rsid w:val="00064144"/>
    <w:rsid w:val="000668C0"/>
    <w:rsid w:val="0007064E"/>
    <w:rsid w:val="00071710"/>
    <w:rsid w:val="00075CC1"/>
    <w:rsid w:val="0008737D"/>
    <w:rsid w:val="0009055B"/>
    <w:rsid w:val="00091745"/>
    <w:rsid w:val="00092CDF"/>
    <w:rsid w:val="00093066"/>
    <w:rsid w:val="000A46C7"/>
    <w:rsid w:val="000A6A7D"/>
    <w:rsid w:val="000B0EAC"/>
    <w:rsid w:val="000B48F4"/>
    <w:rsid w:val="000C2FE4"/>
    <w:rsid w:val="000C5378"/>
    <w:rsid w:val="000F4A63"/>
    <w:rsid w:val="00114515"/>
    <w:rsid w:val="00120135"/>
    <w:rsid w:val="00124FC0"/>
    <w:rsid w:val="00126268"/>
    <w:rsid w:val="00127539"/>
    <w:rsid w:val="00135842"/>
    <w:rsid w:val="00145FA8"/>
    <w:rsid w:val="00153B89"/>
    <w:rsid w:val="0015637B"/>
    <w:rsid w:val="00161F79"/>
    <w:rsid w:val="00164817"/>
    <w:rsid w:val="00172051"/>
    <w:rsid w:val="00177886"/>
    <w:rsid w:val="00177BB3"/>
    <w:rsid w:val="00182A0B"/>
    <w:rsid w:val="00182A2C"/>
    <w:rsid w:val="00184209"/>
    <w:rsid w:val="00194015"/>
    <w:rsid w:val="001962EE"/>
    <w:rsid w:val="001B0193"/>
    <w:rsid w:val="001B3033"/>
    <w:rsid w:val="001B525F"/>
    <w:rsid w:val="001C5830"/>
    <w:rsid w:val="001C6469"/>
    <w:rsid w:val="001C7683"/>
    <w:rsid w:val="001D1875"/>
    <w:rsid w:val="001D2CEF"/>
    <w:rsid w:val="001D2E00"/>
    <w:rsid w:val="001D3B9E"/>
    <w:rsid w:val="001E580D"/>
    <w:rsid w:val="001F225B"/>
    <w:rsid w:val="001F7F6F"/>
    <w:rsid w:val="00200A03"/>
    <w:rsid w:val="002102CB"/>
    <w:rsid w:val="002117F3"/>
    <w:rsid w:val="002121FF"/>
    <w:rsid w:val="00215A24"/>
    <w:rsid w:val="00223032"/>
    <w:rsid w:val="00240A7F"/>
    <w:rsid w:val="002502B0"/>
    <w:rsid w:val="0025620C"/>
    <w:rsid w:val="002600A8"/>
    <w:rsid w:val="0026297F"/>
    <w:rsid w:val="002656CF"/>
    <w:rsid w:val="00270DF5"/>
    <w:rsid w:val="002718A0"/>
    <w:rsid w:val="0028267F"/>
    <w:rsid w:val="00283DD7"/>
    <w:rsid w:val="00284618"/>
    <w:rsid w:val="00290EEA"/>
    <w:rsid w:val="00291CF2"/>
    <w:rsid w:val="002A1EC8"/>
    <w:rsid w:val="002A4724"/>
    <w:rsid w:val="002A5D52"/>
    <w:rsid w:val="002A64ED"/>
    <w:rsid w:val="002C0F59"/>
    <w:rsid w:val="002D025D"/>
    <w:rsid w:val="002D1F3A"/>
    <w:rsid w:val="002E6066"/>
    <w:rsid w:val="002E7714"/>
    <w:rsid w:val="002F3E3B"/>
    <w:rsid w:val="003034C3"/>
    <w:rsid w:val="003067F6"/>
    <w:rsid w:val="0030684B"/>
    <w:rsid w:val="00322481"/>
    <w:rsid w:val="003229E2"/>
    <w:rsid w:val="00323EE8"/>
    <w:rsid w:val="0032789B"/>
    <w:rsid w:val="00337EF8"/>
    <w:rsid w:val="003421DB"/>
    <w:rsid w:val="00343FBE"/>
    <w:rsid w:val="00345453"/>
    <w:rsid w:val="00350437"/>
    <w:rsid w:val="003506B2"/>
    <w:rsid w:val="00350F8B"/>
    <w:rsid w:val="003542F0"/>
    <w:rsid w:val="00357234"/>
    <w:rsid w:val="003616C6"/>
    <w:rsid w:val="00362708"/>
    <w:rsid w:val="003720EC"/>
    <w:rsid w:val="00392D1A"/>
    <w:rsid w:val="003968EA"/>
    <w:rsid w:val="00397A2D"/>
    <w:rsid w:val="003A045B"/>
    <w:rsid w:val="003A121E"/>
    <w:rsid w:val="003A4AA5"/>
    <w:rsid w:val="003A5165"/>
    <w:rsid w:val="003C04C0"/>
    <w:rsid w:val="003C1922"/>
    <w:rsid w:val="003D4575"/>
    <w:rsid w:val="003D6DFD"/>
    <w:rsid w:val="003E36FF"/>
    <w:rsid w:val="003E6701"/>
    <w:rsid w:val="003F072C"/>
    <w:rsid w:val="003F23E4"/>
    <w:rsid w:val="003F376D"/>
    <w:rsid w:val="00400F5D"/>
    <w:rsid w:val="00413CC6"/>
    <w:rsid w:val="00414CAD"/>
    <w:rsid w:val="004204BC"/>
    <w:rsid w:val="004223AD"/>
    <w:rsid w:val="00426A7E"/>
    <w:rsid w:val="0042727D"/>
    <w:rsid w:val="004410A7"/>
    <w:rsid w:val="004441FD"/>
    <w:rsid w:val="0044747D"/>
    <w:rsid w:val="004474FB"/>
    <w:rsid w:val="00450CE9"/>
    <w:rsid w:val="0045220D"/>
    <w:rsid w:val="004562B0"/>
    <w:rsid w:val="00461B07"/>
    <w:rsid w:val="0046238A"/>
    <w:rsid w:val="00462494"/>
    <w:rsid w:val="00472EC6"/>
    <w:rsid w:val="0047337E"/>
    <w:rsid w:val="004833B1"/>
    <w:rsid w:val="00483831"/>
    <w:rsid w:val="00491D0C"/>
    <w:rsid w:val="00491EDD"/>
    <w:rsid w:val="00491F4B"/>
    <w:rsid w:val="004A2CBB"/>
    <w:rsid w:val="004A2E99"/>
    <w:rsid w:val="004B4607"/>
    <w:rsid w:val="004C058F"/>
    <w:rsid w:val="004C6BBA"/>
    <w:rsid w:val="004D0E36"/>
    <w:rsid w:val="004D127F"/>
    <w:rsid w:val="004E1EA5"/>
    <w:rsid w:val="004E252C"/>
    <w:rsid w:val="004F0311"/>
    <w:rsid w:val="005025A1"/>
    <w:rsid w:val="005042A7"/>
    <w:rsid w:val="00506FA7"/>
    <w:rsid w:val="00511C34"/>
    <w:rsid w:val="00513493"/>
    <w:rsid w:val="0051504D"/>
    <w:rsid w:val="005230CA"/>
    <w:rsid w:val="00525733"/>
    <w:rsid w:val="00530201"/>
    <w:rsid w:val="00534510"/>
    <w:rsid w:val="0053631C"/>
    <w:rsid w:val="005413D7"/>
    <w:rsid w:val="005508DD"/>
    <w:rsid w:val="00565F0F"/>
    <w:rsid w:val="005663B8"/>
    <w:rsid w:val="0057081E"/>
    <w:rsid w:val="00572D40"/>
    <w:rsid w:val="0057315D"/>
    <w:rsid w:val="00576B0F"/>
    <w:rsid w:val="0057713C"/>
    <w:rsid w:val="00583998"/>
    <w:rsid w:val="00584B9C"/>
    <w:rsid w:val="00590FA1"/>
    <w:rsid w:val="00592867"/>
    <w:rsid w:val="00592C35"/>
    <w:rsid w:val="00593AAF"/>
    <w:rsid w:val="005A2757"/>
    <w:rsid w:val="005B1461"/>
    <w:rsid w:val="005C1DBE"/>
    <w:rsid w:val="005C4231"/>
    <w:rsid w:val="005D2004"/>
    <w:rsid w:val="005E0A25"/>
    <w:rsid w:val="005E1B3B"/>
    <w:rsid w:val="005E41E0"/>
    <w:rsid w:val="00601887"/>
    <w:rsid w:val="00605989"/>
    <w:rsid w:val="00622026"/>
    <w:rsid w:val="00634CA5"/>
    <w:rsid w:val="00642448"/>
    <w:rsid w:val="0065731F"/>
    <w:rsid w:val="00661D49"/>
    <w:rsid w:val="006731C1"/>
    <w:rsid w:val="00680A92"/>
    <w:rsid w:val="00693642"/>
    <w:rsid w:val="006B0081"/>
    <w:rsid w:val="006B222C"/>
    <w:rsid w:val="006B6F13"/>
    <w:rsid w:val="006C4EF0"/>
    <w:rsid w:val="006C6215"/>
    <w:rsid w:val="006C72EF"/>
    <w:rsid w:val="006D165D"/>
    <w:rsid w:val="006E1080"/>
    <w:rsid w:val="006E10D3"/>
    <w:rsid w:val="006E3686"/>
    <w:rsid w:val="006F061E"/>
    <w:rsid w:val="006F318F"/>
    <w:rsid w:val="00701875"/>
    <w:rsid w:val="00704778"/>
    <w:rsid w:val="00706954"/>
    <w:rsid w:val="0071065B"/>
    <w:rsid w:val="0071190A"/>
    <w:rsid w:val="0073211C"/>
    <w:rsid w:val="0073446A"/>
    <w:rsid w:val="0074456C"/>
    <w:rsid w:val="00755F1A"/>
    <w:rsid w:val="00767DBE"/>
    <w:rsid w:val="00794CD7"/>
    <w:rsid w:val="007B528D"/>
    <w:rsid w:val="007B5327"/>
    <w:rsid w:val="007B7CD6"/>
    <w:rsid w:val="007C4857"/>
    <w:rsid w:val="007D149B"/>
    <w:rsid w:val="007D15A8"/>
    <w:rsid w:val="007D65CE"/>
    <w:rsid w:val="007D73C9"/>
    <w:rsid w:val="007E3250"/>
    <w:rsid w:val="007E332D"/>
    <w:rsid w:val="007E6695"/>
    <w:rsid w:val="007F0A30"/>
    <w:rsid w:val="007F6029"/>
    <w:rsid w:val="00810450"/>
    <w:rsid w:val="00816009"/>
    <w:rsid w:val="0084461F"/>
    <w:rsid w:val="00844E4C"/>
    <w:rsid w:val="00851B75"/>
    <w:rsid w:val="008530F2"/>
    <w:rsid w:val="008541FD"/>
    <w:rsid w:val="008733EF"/>
    <w:rsid w:val="008767EB"/>
    <w:rsid w:val="008842B0"/>
    <w:rsid w:val="0088560A"/>
    <w:rsid w:val="00886B33"/>
    <w:rsid w:val="0089658C"/>
    <w:rsid w:val="008A0B6D"/>
    <w:rsid w:val="008A1B1A"/>
    <w:rsid w:val="008C6DD0"/>
    <w:rsid w:val="008D24D4"/>
    <w:rsid w:val="008F11D2"/>
    <w:rsid w:val="008F2633"/>
    <w:rsid w:val="008F2818"/>
    <w:rsid w:val="008F6462"/>
    <w:rsid w:val="008F6F5E"/>
    <w:rsid w:val="00911D31"/>
    <w:rsid w:val="009140B4"/>
    <w:rsid w:val="00922673"/>
    <w:rsid w:val="00923249"/>
    <w:rsid w:val="00923904"/>
    <w:rsid w:val="0092438F"/>
    <w:rsid w:val="00933402"/>
    <w:rsid w:val="0094136B"/>
    <w:rsid w:val="00942C5D"/>
    <w:rsid w:val="009476D3"/>
    <w:rsid w:val="00953C95"/>
    <w:rsid w:val="0095446F"/>
    <w:rsid w:val="00965F88"/>
    <w:rsid w:val="009805A1"/>
    <w:rsid w:val="00985EA6"/>
    <w:rsid w:val="009968BF"/>
    <w:rsid w:val="009A1B81"/>
    <w:rsid w:val="009B2333"/>
    <w:rsid w:val="009C089A"/>
    <w:rsid w:val="009C30A3"/>
    <w:rsid w:val="009C4956"/>
    <w:rsid w:val="009C6DDB"/>
    <w:rsid w:val="009E7A06"/>
    <w:rsid w:val="009F1551"/>
    <w:rsid w:val="009F2817"/>
    <w:rsid w:val="009F352F"/>
    <w:rsid w:val="009F7186"/>
    <w:rsid w:val="00A003B2"/>
    <w:rsid w:val="00A0146B"/>
    <w:rsid w:val="00A02657"/>
    <w:rsid w:val="00A0611C"/>
    <w:rsid w:val="00A10433"/>
    <w:rsid w:val="00A1092D"/>
    <w:rsid w:val="00A1115F"/>
    <w:rsid w:val="00A1480E"/>
    <w:rsid w:val="00A24EDA"/>
    <w:rsid w:val="00A46C1B"/>
    <w:rsid w:val="00A46EEA"/>
    <w:rsid w:val="00A47226"/>
    <w:rsid w:val="00A47461"/>
    <w:rsid w:val="00A477CC"/>
    <w:rsid w:val="00A47926"/>
    <w:rsid w:val="00A64152"/>
    <w:rsid w:val="00A7095F"/>
    <w:rsid w:val="00A7462D"/>
    <w:rsid w:val="00A776D0"/>
    <w:rsid w:val="00A77F4B"/>
    <w:rsid w:val="00A817AC"/>
    <w:rsid w:val="00A832AE"/>
    <w:rsid w:val="00A846B9"/>
    <w:rsid w:val="00A90D1D"/>
    <w:rsid w:val="00AA1B96"/>
    <w:rsid w:val="00AA20C1"/>
    <w:rsid w:val="00AA647C"/>
    <w:rsid w:val="00AB4072"/>
    <w:rsid w:val="00AC00A4"/>
    <w:rsid w:val="00AC660F"/>
    <w:rsid w:val="00AC6862"/>
    <w:rsid w:val="00AD48B4"/>
    <w:rsid w:val="00AE2197"/>
    <w:rsid w:val="00AE5C85"/>
    <w:rsid w:val="00AF1C5B"/>
    <w:rsid w:val="00AF7D45"/>
    <w:rsid w:val="00B04AB7"/>
    <w:rsid w:val="00B152A1"/>
    <w:rsid w:val="00B15BB8"/>
    <w:rsid w:val="00B16FB0"/>
    <w:rsid w:val="00B217FF"/>
    <w:rsid w:val="00B21FDD"/>
    <w:rsid w:val="00B2232E"/>
    <w:rsid w:val="00B33D11"/>
    <w:rsid w:val="00B42F04"/>
    <w:rsid w:val="00B43062"/>
    <w:rsid w:val="00B5743E"/>
    <w:rsid w:val="00B62253"/>
    <w:rsid w:val="00B62788"/>
    <w:rsid w:val="00B74E49"/>
    <w:rsid w:val="00B87095"/>
    <w:rsid w:val="00B901CA"/>
    <w:rsid w:val="00B947EF"/>
    <w:rsid w:val="00BA2245"/>
    <w:rsid w:val="00BA7EF1"/>
    <w:rsid w:val="00BB16D4"/>
    <w:rsid w:val="00BB30F7"/>
    <w:rsid w:val="00BB7447"/>
    <w:rsid w:val="00BC171B"/>
    <w:rsid w:val="00BC2C0F"/>
    <w:rsid w:val="00BC2D49"/>
    <w:rsid w:val="00BC381F"/>
    <w:rsid w:val="00BC4EBF"/>
    <w:rsid w:val="00BC5504"/>
    <w:rsid w:val="00BD5F7A"/>
    <w:rsid w:val="00BE1A0C"/>
    <w:rsid w:val="00BF0D7B"/>
    <w:rsid w:val="00BF3250"/>
    <w:rsid w:val="00C062A3"/>
    <w:rsid w:val="00C0693D"/>
    <w:rsid w:val="00C10E1D"/>
    <w:rsid w:val="00C238C4"/>
    <w:rsid w:val="00C319BB"/>
    <w:rsid w:val="00C412DB"/>
    <w:rsid w:val="00C508B6"/>
    <w:rsid w:val="00C52140"/>
    <w:rsid w:val="00C53E18"/>
    <w:rsid w:val="00C551C2"/>
    <w:rsid w:val="00C62326"/>
    <w:rsid w:val="00C87D43"/>
    <w:rsid w:val="00C962F0"/>
    <w:rsid w:val="00CA1124"/>
    <w:rsid w:val="00CA47FC"/>
    <w:rsid w:val="00CB1D51"/>
    <w:rsid w:val="00CB7BFD"/>
    <w:rsid w:val="00CC63A8"/>
    <w:rsid w:val="00CE4548"/>
    <w:rsid w:val="00CE6B56"/>
    <w:rsid w:val="00CE735A"/>
    <w:rsid w:val="00D01E1A"/>
    <w:rsid w:val="00D05B38"/>
    <w:rsid w:val="00D127FA"/>
    <w:rsid w:val="00D13FAE"/>
    <w:rsid w:val="00D14258"/>
    <w:rsid w:val="00D221D9"/>
    <w:rsid w:val="00D27064"/>
    <w:rsid w:val="00D2759C"/>
    <w:rsid w:val="00D27793"/>
    <w:rsid w:val="00D3157D"/>
    <w:rsid w:val="00D36447"/>
    <w:rsid w:val="00D379C6"/>
    <w:rsid w:val="00D45C74"/>
    <w:rsid w:val="00D45EBF"/>
    <w:rsid w:val="00D4781D"/>
    <w:rsid w:val="00D73D21"/>
    <w:rsid w:val="00DA494C"/>
    <w:rsid w:val="00DA708D"/>
    <w:rsid w:val="00DD020D"/>
    <w:rsid w:val="00DD3513"/>
    <w:rsid w:val="00DD5ADF"/>
    <w:rsid w:val="00DD5D08"/>
    <w:rsid w:val="00DE5669"/>
    <w:rsid w:val="00DE5E70"/>
    <w:rsid w:val="00DF762E"/>
    <w:rsid w:val="00E02859"/>
    <w:rsid w:val="00E04928"/>
    <w:rsid w:val="00E04D56"/>
    <w:rsid w:val="00E05F20"/>
    <w:rsid w:val="00E07D32"/>
    <w:rsid w:val="00E17221"/>
    <w:rsid w:val="00E1785F"/>
    <w:rsid w:val="00E27B5C"/>
    <w:rsid w:val="00E335C3"/>
    <w:rsid w:val="00E34052"/>
    <w:rsid w:val="00E43E3B"/>
    <w:rsid w:val="00E50369"/>
    <w:rsid w:val="00E5076D"/>
    <w:rsid w:val="00E508A6"/>
    <w:rsid w:val="00E51876"/>
    <w:rsid w:val="00E52A56"/>
    <w:rsid w:val="00E52C61"/>
    <w:rsid w:val="00E54FAD"/>
    <w:rsid w:val="00E55153"/>
    <w:rsid w:val="00E612A2"/>
    <w:rsid w:val="00E663AA"/>
    <w:rsid w:val="00E66ABF"/>
    <w:rsid w:val="00E73564"/>
    <w:rsid w:val="00E738B9"/>
    <w:rsid w:val="00E75AF2"/>
    <w:rsid w:val="00E80C75"/>
    <w:rsid w:val="00E83622"/>
    <w:rsid w:val="00E873FA"/>
    <w:rsid w:val="00E9554C"/>
    <w:rsid w:val="00E957DF"/>
    <w:rsid w:val="00E95FC6"/>
    <w:rsid w:val="00EA43F8"/>
    <w:rsid w:val="00EB02C9"/>
    <w:rsid w:val="00EB3CA9"/>
    <w:rsid w:val="00EB55B7"/>
    <w:rsid w:val="00EC30DA"/>
    <w:rsid w:val="00EC48F6"/>
    <w:rsid w:val="00EC5972"/>
    <w:rsid w:val="00EC6947"/>
    <w:rsid w:val="00ED437C"/>
    <w:rsid w:val="00ED54C3"/>
    <w:rsid w:val="00EE428E"/>
    <w:rsid w:val="00EE7DD6"/>
    <w:rsid w:val="00EF5BD5"/>
    <w:rsid w:val="00F00282"/>
    <w:rsid w:val="00F0733B"/>
    <w:rsid w:val="00F14E11"/>
    <w:rsid w:val="00F27088"/>
    <w:rsid w:val="00F273DF"/>
    <w:rsid w:val="00F278B7"/>
    <w:rsid w:val="00F311C4"/>
    <w:rsid w:val="00F316E4"/>
    <w:rsid w:val="00F32CC7"/>
    <w:rsid w:val="00F42452"/>
    <w:rsid w:val="00F433FD"/>
    <w:rsid w:val="00F45A68"/>
    <w:rsid w:val="00F47EA3"/>
    <w:rsid w:val="00F56734"/>
    <w:rsid w:val="00F6607C"/>
    <w:rsid w:val="00F6633E"/>
    <w:rsid w:val="00F7615F"/>
    <w:rsid w:val="00F7623A"/>
    <w:rsid w:val="00F85BF1"/>
    <w:rsid w:val="00F86183"/>
    <w:rsid w:val="00F93EB8"/>
    <w:rsid w:val="00F94756"/>
    <w:rsid w:val="00FA5D21"/>
    <w:rsid w:val="00FA6973"/>
    <w:rsid w:val="00FA6F5D"/>
    <w:rsid w:val="00FB59EF"/>
    <w:rsid w:val="00FB6549"/>
    <w:rsid w:val="00FC20B4"/>
    <w:rsid w:val="00FC53E4"/>
    <w:rsid w:val="00FC792E"/>
    <w:rsid w:val="00FD2C21"/>
    <w:rsid w:val="00FD7BB4"/>
    <w:rsid w:val="00FE48EB"/>
    <w:rsid w:val="00FE4E10"/>
    <w:rsid w:val="00FF6A93"/>
    <w:rsid w:val="00FF7750"/>
    <w:rsid w:val="00FF7CED"/>
    <w:rsid w:val="4E983FCB"/>
    <w:rsid w:val="62113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8D925"/>
  <w15:docId w15:val="{E464A029-0D5A-4A55-9896-8E1B59A8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B8"/>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rsid w:val="005663B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663B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663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5663B8"/>
    <w:rPr>
      <w:rFonts w:ascii="宋体"/>
      <w:sz w:val="18"/>
      <w:szCs w:val="18"/>
    </w:rPr>
  </w:style>
  <w:style w:type="paragraph" w:styleId="a5">
    <w:name w:val="annotation text"/>
    <w:basedOn w:val="a"/>
    <w:link w:val="a6"/>
    <w:uiPriority w:val="99"/>
    <w:semiHidden/>
    <w:unhideWhenUsed/>
    <w:rsid w:val="005663B8"/>
    <w:pPr>
      <w:jc w:val="left"/>
    </w:pPr>
  </w:style>
  <w:style w:type="paragraph" w:styleId="a7">
    <w:name w:val="Date"/>
    <w:basedOn w:val="a"/>
    <w:next w:val="a"/>
    <w:link w:val="a8"/>
    <w:uiPriority w:val="99"/>
    <w:semiHidden/>
    <w:unhideWhenUsed/>
    <w:qFormat/>
    <w:rsid w:val="005663B8"/>
    <w:pPr>
      <w:ind w:leftChars="2500" w:left="100"/>
    </w:pPr>
  </w:style>
  <w:style w:type="paragraph" w:styleId="a9">
    <w:name w:val="Balloon Text"/>
    <w:basedOn w:val="a"/>
    <w:link w:val="aa"/>
    <w:uiPriority w:val="99"/>
    <w:semiHidden/>
    <w:unhideWhenUsed/>
    <w:qFormat/>
    <w:rsid w:val="005663B8"/>
    <w:rPr>
      <w:sz w:val="18"/>
      <w:szCs w:val="18"/>
    </w:rPr>
  </w:style>
  <w:style w:type="paragraph" w:styleId="ab">
    <w:name w:val="footer"/>
    <w:basedOn w:val="a"/>
    <w:link w:val="ac"/>
    <w:uiPriority w:val="99"/>
    <w:unhideWhenUsed/>
    <w:qFormat/>
    <w:rsid w:val="005663B8"/>
    <w:pPr>
      <w:tabs>
        <w:tab w:val="center" w:pos="4153"/>
        <w:tab w:val="right" w:pos="8306"/>
      </w:tabs>
      <w:snapToGrid w:val="0"/>
      <w:jc w:val="left"/>
    </w:pPr>
    <w:rPr>
      <w:sz w:val="18"/>
      <w:szCs w:val="18"/>
    </w:rPr>
  </w:style>
  <w:style w:type="paragraph" w:styleId="ad">
    <w:name w:val="header"/>
    <w:basedOn w:val="a"/>
    <w:link w:val="ae"/>
    <w:uiPriority w:val="99"/>
    <w:unhideWhenUsed/>
    <w:qFormat/>
    <w:rsid w:val="005663B8"/>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rsid w:val="005663B8"/>
    <w:rPr>
      <w:rFonts w:cs="黑体"/>
      <w:sz w:val="24"/>
    </w:rPr>
  </w:style>
  <w:style w:type="paragraph" w:styleId="af0">
    <w:name w:val="annotation subject"/>
    <w:basedOn w:val="a5"/>
    <w:next w:val="a5"/>
    <w:link w:val="af1"/>
    <w:uiPriority w:val="99"/>
    <w:semiHidden/>
    <w:unhideWhenUsed/>
    <w:qFormat/>
    <w:rsid w:val="005663B8"/>
    <w:rPr>
      <w:b/>
      <w:bCs/>
    </w:rPr>
  </w:style>
  <w:style w:type="table" w:styleId="af2">
    <w:name w:val="Table Grid"/>
    <w:basedOn w:val="a1"/>
    <w:uiPriority w:val="59"/>
    <w:qFormat/>
    <w:rsid w:val="0056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5663B8"/>
    <w:rPr>
      <w:sz w:val="21"/>
      <w:szCs w:val="21"/>
    </w:rPr>
  </w:style>
  <w:style w:type="character" w:customStyle="1" w:styleId="ae">
    <w:name w:val="页眉 字符"/>
    <w:basedOn w:val="a0"/>
    <w:link w:val="ad"/>
    <w:uiPriority w:val="99"/>
    <w:qFormat/>
    <w:rsid w:val="005663B8"/>
    <w:rPr>
      <w:sz w:val="18"/>
      <w:szCs w:val="18"/>
    </w:rPr>
  </w:style>
  <w:style w:type="character" w:customStyle="1" w:styleId="ac">
    <w:name w:val="页脚 字符"/>
    <w:basedOn w:val="a0"/>
    <w:link w:val="ab"/>
    <w:uiPriority w:val="99"/>
    <w:qFormat/>
    <w:rsid w:val="005663B8"/>
    <w:rPr>
      <w:sz w:val="18"/>
      <w:szCs w:val="18"/>
    </w:rPr>
  </w:style>
  <w:style w:type="paragraph" w:customStyle="1" w:styleId="Default">
    <w:name w:val="Default"/>
    <w:qFormat/>
    <w:rsid w:val="005663B8"/>
    <w:pPr>
      <w:widowControl w:val="0"/>
      <w:autoSpaceDE w:val="0"/>
      <w:autoSpaceDN w:val="0"/>
      <w:adjustRightInd w:val="0"/>
    </w:pPr>
    <w:rPr>
      <w:rFonts w:ascii="宋体" w:eastAsia="宋体" w:hAnsi="Calibri" w:cs="宋体"/>
      <w:color w:val="000000"/>
      <w:sz w:val="24"/>
      <w:szCs w:val="24"/>
    </w:rPr>
  </w:style>
  <w:style w:type="character" w:customStyle="1" w:styleId="a4">
    <w:name w:val="文档结构图 字符"/>
    <w:basedOn w:val="a0"/>
    <w:link w:val="a3"/>
    <w:uiPriority w:val="99"/>
    <w:semiHidden/>
    <w:qFormat/>
    <w:rsid w:val="005663B8"/>
    <w:rPr>
      <w:rFonts w:ascii="宋体" w:eastAsia="宋体" w:hAnsi="Calibri" w:cs="Times New Roman"/>
      <w:sz w:val="18"/>
      <w:szCs w:val="18"/>
    </w:rPr>
  </w:style>
  <w:style w:type="character" w:customStyle="1" w:styleId="aa">
    <w:name w:val="批注框文本 字符"/>
    <w:basedOn w:val="a0"/>
    <w:link w:val="a9"/>
    <w:uiPriority w:val="99"/>
    <w:semiHidden/>
    <w:qFormat/>
    <w:rsid w:val="005663B8"/>
    <w:rPr>
      <w:rFonts w:ascii="Calibri" w:eastAsia="宋体" w:hAnsi="Calibri" w:cs="Times New Roman"/>
      <w:sz w:val="18"/>
      <w:szCs w:val="18"/>
    </w:rPr>
  </w:style>
  <w:style w:type="paragraph" w:customStyle="1" w:styleId="11">
    <w:name w:val="修订1"/>
    <w:hidden/>
    <w:uiPriority w:val="99"/>
    <w:semiHidden/>
    <w:qFormat/>
    <w:rsid w:val="005663B8"/>
    <w:rPr>
      <w:rFonts w:ascii="Calibri" w:eastAsia="宋体" w:hAnsi="Calibri" w:cs="Times New Roman"/>
      <w:kern w:val="2"/>
      <w:sz w:val="21"/>
      <w:szCs w:val="22"/>
    </w:rPr>
  </w:style>
  <w:style w:type="paragraph" w:customStyle="1" w:styleId="TableParagraph">
    <w:name w:val="Table Paragraph"/>
    <w:basedOn w:val="a"/>
    <w:uiPriority w:val="1"/>
    <w:qFormat/>
    <w:rsid w:val="005663B8"/>
    <w:pPr>
      <w:spacing w:line="240" w:lineRule="atLeast"/>
      <w:jc w:val="left"/>
    </w:pPr>
  </w:style>
  <w:style w:type="character" w:customStyle="1" w:styleId="a8">
    <w:name w:val="日期 字符"/>
    <w:basedOn w:val="a0"/>
    <w:link w:val="a7"/>
    <w:uiPriority w:val="99"/>
    <w:semiHidden/>
    <w:qFormat/>
    <w:rsid w:val="005663B8"/>
    <w:rPr>
      <w:rFonts w:ascii="Calibri" w:eastAsia="宋体" w:hAnsi="Calibri" w:cs="Times New Roman"/>
    </w:rPr>
  </w:style>
  <w:style w:type="character" w:customStyle="1" w:styleId="10">
    <w:name w:val="标题 1 字符"/>
    <w:basedOn w:val="a0"/>
    <w:link w:val="1"/>
    <w:uiPriority w:val="9"/>
    <w:qFormat/>
    <w:rsid w:val="005663B8"/>
    <w:rPr>
      <w:rFonts w:ascii="Calibri" w:eastAsia="宋体" w:hAnsi="Calibri" w:cs="Times New Roman"/>
      <w:b/>
      <w:bCs/>
      <w:kern w:val="44"/>
      <w:sz w:val="44"/>
      <w:szCs w:val="44"/>
    </w:rPr>
  </w:style>
  <w:style w:type="character" w:customStyle="1" w:styleId="20">
    <w:name w:val="标题 2 字符"/>
    <w:basedOn w:val="a0"/>
    <w:link w:val="2"/>
    <w:uiPriority w:val="9"/>
    <w:qFormat/>
    <w:rsid w:val="005663B8"/>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5663B8"/>
    <w:rPr>
      <w:rFonts w:ascii="Calibri" w:eastAsia="宋体" w:hAnsi="Calibri" w:cs="Times New Roman"/>
      <w:b/>
      <w:bCs/>
      <w:sz w:val="32"/>
      <w:szCs w:val="32"/>
    </w:rPr>
  </w:style>
  <w:style w:type="paragraph" w:customStyle="1" w:styleId="21">
    <w:name w:val="修订2"/>
    <w:hidden/>
    <w:uiPriority w:val="99"/>
    <w:semiHidden/>
    <w:qFormat/>
    <w:rsid w:val="005663B8"/>
    <w:rPr>
      <w:rFonts w:ascii="Calibri" w:eastAsia="宋体" w:hAnsi="Calibri" w:cs="Times New Roman"/>
      <w:kern w:val="2"/>
      <w:sz w:val="21"/>
      <w:szCs w:val="22"/>
    </w:rPr>
  </w:style>
  <w:style w:type="character" w:customStyle="1" w:styleId="a6">
    <w:name w:val="批注文字 字符"/>
    <w:basedOn w:val="a0"/>
    <w:link w:val="a5"/>
    <w:uiPriority w:val="99"/>
    <w:semiHidden/>
    <w:rsid w:val="005663B8"/>
    <w:rPr>
      <w:rFonts w:ascii="Calibri" w:eastAsia="宋体" w:hAnsi="Calibri" w:cs="Times New Roman"/>
      <w:kern w:val="2"/>
      <w:sz w:val="21"/>
      <w:szCs w:val="22"/>
    </w:rPr>
  </w:style>
  <w:style w:type="character" w:customStyle="1" w:styleId="af1">
    <w:name w:val="批注主题 字符"/>
    <w:basedOn w:val="a6"/>
    <w:link w:val="af0"/>
    <w:uiPriority w:val="99"/>
    <w:semiHidden/>
    <w:rsid w:val="005663B8"/>
    <w:rPr>
      <w:rFonts w:ascii="Calibri" w:eastAsia="宋体" w:hAnsi="Calibri" w:cs="Times New Roman"/>
      <w:b/>
      <w:bCs/>
      <w:kern w:val="2"/>
      <w:sz w:val="21"/>
      <w:szCs w:val="22"/>
    </w:rPr>
  </w:style>
  <w:style w:type="paragraph" w:styleId="af4">
    <w:name w:val="Revision"/>
    <w:hidden/>
    <w:uiPriority w:val="99"/>
    <w:semiHidden/>
    <w:rsid w:val="00DD5D08"/>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656">
      <w:bodyDiv w:val="1"/>
      <w:marLeft w:val="0"/>
      <w:marRight w:val="0"/>
      <w:marTop w:val="0"/>
      <w:marBottom w:val="0"/>
      <w:divBdr>
        <w:top w:val="none" w:sz="0" w:space="0" w:color="auto"/>
        <w:left w:val="none" w:sz="0" w:space="0" w:color="auto"/>
        <w:bottom w:val="none" w:sz="0" w:space="0" w:color="auto"/>
        <w:right w:val="none" w:sz="0" w:space="0" w:color="auto"/>
      </w:divBdr>
    </w:div>
    <w:div w:id="404107431">
      <w:bodyDiv w:val="1"/>
      <w:marLeft w:val="0"/>
      <w:marRight w:val="0"/>
      <w:marTop w:val="0"/>
      <w:marBottom w:val="0"/>
      <w:divBdr>
        <w:top w:val="none" w:sz="0" w:space="0" w:color="auto"/>
        <w:left w:val="none" w:sz="0" w:space="0" w:color="auto"/>
        <w:bottom w:val="none" w:sz="0" w:space="0" w:color="auto"/>
        <w:right w:val="none" w:sz="0" w:space="0" w:color="auto"/>
      </w:divBdr>
    </w:div>
    <w:div w:id="164168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CAC1A-05FB-48F4-8CF0-546BC923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889</Words>
  <Characters>5069</Characters>
  <Application>Microsoft Office Word</Application>
  <DocSecurity>0</DocSecurity>
  <Lines>42</Lines>
  <Paragraphs>11</Paragraphs>
  <ScaleCrop>false</ScaleCrop>
  <Company>Lenovo</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sweet</cp:lastModifiedBy>
  <cp:revision>54</cp:revision>
  <cp:lastPrinted>2025-07-27T17:48:00Z</cp:lastPrinted>
  <dcterms:created xsi:type="dcterms:W3CDTF">2025-07-07T07:40:00Z</dcterms:created>
  <dcterms:modified xsi:type="dcterms:W3CDTF">2025-07-28T06:17:00Z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F8BE73BACFE2439FA32B04909F2A30EE_12</vt:lpwstr>
  </property>
  <property fmtid="{D5CDD505-2E9C-101B-9397-08002B2CF9AE}" pid="4" name="KSOTemplateDocerSaveRecord">
    <vt:lpwstr>eyJoZGlkIjoiZmY1YTVkZjcxNjI0NDZlY2ZhZDlhZjgyNzYwMWE1NDQiLCJ1c2VySWQiOiI2MDY0Mzg0MDIifQ==</vt:lpwstr>
  </property>
</Properties>
</file>