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64" w:rsidRPr="00835054" w:rsidRDefault="00ED2705" w:rsidP="00997240">
      <w:pPr>
        <w:widowControl/>
        <w:spacing w:line="48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0"/>
          <w:szCs w:val="30"/>
        </w:rPr>
      </w:pPr>
      <w:bookmarkStart w:id="0" w:name="_Toc403420150"/>
      <w:r w:rsidRPr="00835054"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</w:rPr>
        <w:t>南京宝色股份公司</w:t>
      </w:r>
      <w:bookmarkStart w:id="1" w:name="_Toc170369070"/>
    </w:p>
    <w:p w:rsidR="00984A64" w:rsidRPr="00835054" w:rsidRDefault="00ED2705" w:rsidP="00997240">
      <w:pPr>
        <w:widowControl/>
        <w:spacing w:line="48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0"/>
          <w:szCs w:val="30"/>
        </w:rPr>
      </w:pPr>
      <w:r w:rsidRPr="00835054"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</w:rPr>
        <w:t>董事会战略委员会实施细则</w:t>
      </w:r>
      <w:bookmarkEnd w:id="0"/>
      <w:bookmarkEnd w:id="1"/>
    </w:p>
    <w:p w:rsidR="00327982" w:rsidRPr="00835054" w:rsidRDefault="00C26255" w:rsidP="00997240">
      <w:pPr>
        <w:widowControl/>
        <w:spacing w:beforeLines="50" w:before="156" w:afterLines="50" w:after="156" w:line="360" w:lineRule="auto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3505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327982" w:rsidRPr="0083505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327982" w:rsidRPr="00835054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025年</w:t>
      </w:r>
      <w:r w:rsidR="00327982" w:rsidRPr="0083505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7月修订</w:t>
      </w:r>
      <w:r w:rsidRPr="0083505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A13ED1" w:rsidRPr="00835054" w:rsidRDefault="00ED2705" w:rsidP="00327982">
      <w:pPr>
        <w:widowControl/>
        <w:spacing w:beforeLines="50" w:before="156" w:afterLines="25" w:after="78" w:line="360" w:lineRule="auto"/>
        <w:jc w:val="center"/>
        <w:outlineLvl w:val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第一章</w:t>
      </w:r>
      <w:r w:rsidR="00255FDF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总则</w:t>
      </w:r>
    </w:p>
    <w:p w:rsidR="00A13ED1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第一条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为适应南京宝色股份公司（以下简称“公司”）战略发展需要，增强公司核心竞争能力，确定公司发展规划，健全投资决策程序，加强决策科学性，提高重大投资决策的效益和决策的质量，完善公司治理结构，根据《中华人民共和国公司法》《</w:t>
      </w:r>
      <w:r w:rsidRPr="00835054">
        <w:rPr>
          <w:rFonts w:ascii="宋体" w:hAnsi="宋体" w:cs="宋体"/>
          <w:color w:val="000000"/>
          <w:kern w:val="0"/>
          <w:sz w:val="24"/>
          <w:szCs w:val="24"/>
        </w:rPr>
        <w:t>上市公司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治理准则</w:t>
      </w:r>
      <w:r w:rsidRPr="00835054">
        <w:rPr>
          <w:rFonts w:ascii="宋体" w:hAnsi="宋体" w:cs="宋体"/>
          <w:color w:val="000000"/>
          <w:kern w:val="0"/>
          <w:sz w:val="24"/>
          <w:szCs w:val="24"/>
        </w:rPr>
        <w:t>》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《上市公司独立董事管理办法》《深圳证券交易所创业板股票上市规则》《深圳证券交易所上市公司自律监管指引第2号-创业板上市公司规范运作》《南京宝色股份公司章程》（以下简称“《公司章程》”）及其他有关规定，公司特设立董事会战略委员会，并制定本实施细则。</w:t>
      </w:r>
    </w:p>
    <w:p w:rsidR="00A13ED1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第二条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董事会战略委员会是董事会设立的专门工作机构，主要负责对公司长期发展战略和重大投资决策进行研究并提出建议。</w:t>
      </w:r>
    </w:p>
    <w:p w:rsidR="00A13ED1" w:rsidRPr="00835054" w:rsidRDefault="00ED2705" w:rsidP="00327982">
      <w:pPr>
        <w:widowControl/>
        <w:spacing w:beforeLines="50" w:before="156" w:afterLines="25" w:after="78" w:line="360" w:lineRule="auto"/>
        <w:jc w:val="center"/>
        <w:outlineLvl w:val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第二章</w:t>
      </w:r>
      <w:r w:rsidR="00255FDF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委员会组成</w:t>
      </w:r>
    </w:p>
    <w:p w:rsidR="00A13ED1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第三条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战略委员会成员至少由三名董事组成，其中应至少包括一名独立董事。</w:t>
      </w:r>
    </w:p>
    <w:p w:rsidR="00A13ED1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第四条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战略委员会委员由董事长、二分之一以上独立董事或者全体董事的三分之一提名，并由董事会选举产生。</w:t>
      </w:r>
    </w:p>
    <w:p w:rsidR="00A13ED1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第五条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战略委员会设主任委员（召集人）一名，由公司董事长担任。</w:t>
      </w:r>
    </w:p>
    <w:p w:rsidR="00B17AE6" w:rsidRPr="00835054" w:rsidRDefault="00ED2705" w:rsidP="00B17AE6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第六条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战略委员会任期与同届董事会任期一致，委员任期届满，连选可以连任，但独立董事成员连续任职不得超过六年。</w:t>
      </w:r>
      <w:r w:rsidR="00B17AE6"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期间如有委员不再担任公司董事职务时，自动失去战略</w:t>
      </w:r>
      <w:r w:rsidR="00B17AE6" w:rsidRPr="00835054">
        <w:rPr>
          <w:rFonts w:ascii="宋体" w:hAnsi="宋体" w:cs="宋体"/>
          <w:color w:val="000000"/>
          <w:kern w:val="0"/>
          <w:sz w:val="24"/>
          <w:szCs w:val="24"/>
        </w:rPr>
        <w:t>委员会委员资格</w:t>
      </w:r>
      <w:r w:rsidR="00B17AE6"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，并由董事会根据上述第三条至第五条规定补足委员人数。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第七条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战略委员会下设投资评审小组，由公司董事长任投资评审小组组长。战略委员会可根据需要指定相关部门作为</w:t>
      </w:r>
      <w:r w:rsidRPr="00835054">
        <w:rPr>
          <w:rFonts w:ascii="宋体" w:hAnsi="宋体" w:cs="宋体"/>
          <w:color w:val="000000"/>
          <w:kern w:val="0"/>
          <w:sz w:val="24"/>
          <w:szCs w:val="24"/>
        </w:rPr>
        <w:t>战略委员会的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日常办事机构，负责日常工作联络和会议组织等工作。</w:t>
      </w:r>
    </w:p>
    <w:p w:rsidR="00984A64" w:rsidRPr="00835054" w:rsidRDefault="00ED2705" w:rsidP="00327982">
      <w:pPr>
        <w:widowControl/>
        <w:spacing w:beforeLines="50" w:before="156" w:afterLines="25" w:after="78" w:line="360" w:lineRule="auto"/>
        <w:jc w:val="center"/>
        <w:outlineLvl w:val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第三章</w:t>
      </w:r>
      <w:r w:rsidR="00255FDF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委员会职责权限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第八条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战略委员会的主要职责权限：</w:t>
      </w:r>
    </w:p>
    <w:p w:rsidR="00984A64" w:rsidRPr="00835054" w:rsidRDefault="00ED2705" w:rsidP="0032798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（一）对公司长期发展战略进行研究并提出建议；</w:t>
      </w:r>
    </w:p>
    <w:p w:rsidR="00984A64" w:rsidRPr="00835054" w:rsidRDefault="00ED2705" w:rsidP="0032798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（二）对《公司章程》规定须经董事会批准的重大投资融资方案进行研究并提出建议；</w:t>
      </w:r>
    </w:p>
    <w:p w:rsidR="00984A64" w:rsidRPr="00835054" w:rsidRDefault="00ED2705" w:rsidP="0032798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（三）对《公司章程》规定须经董事会批准的重大资本运作、资产经营项目进行研究并提出建议；</w:t>
      </w:r>
    </w:p>
    <w:p w:rsidR="00984A64" w:rsidRPr="00835054" w:rsidRDefault="00ED2705" w:rsidP="0032798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（四）对其他影响公司发展的重大事项进行研究并提出建议；</w:t>
      </w:r>
    </w:p>
    <w:p w:rsidR="00984A64" w:rsidRPr="00835054" w:rsidRDefault="00ED2705" w:rsidP="0032798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（五）对以上事项的实施进行检查；</w:t>
      </w:r>
    </w:p>
    <w:p w:rsidR="00984A64" w:rsidRPr="00835054" w:rsidRDefault="00ED2705" w:rsidP="0032798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（六）董事会授权的其他事项。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第九条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战略委员会对董事会负责，委员会的提案提交董事会审议决定。</w:t>
      </w:r>
    </w:p>
    <w:p w:rsidR="00A13ED1" w:rsidRPr="00835054" w:rsidRDefault="00ED2705" w:rsidP="00327982">
      <w:pPr>
        <w:widowControl/>
        <w:spacing w:beforeLines="50" w:before="156" w:afterLines="25" w:after="78" w:line="360" w:lineRule="auto"/>
        <w:jc w:val="center"/>
        <w:outlineLvl w:val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第四章</w:t>
      </w:r>
      <w:r w:rsidR="00255FDF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决策程序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第十条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投资评审小组负责做好战略委员会决策的前期准备工作，向</w:t>
      </w:r>
      <w:r w:rsidRPr="00835054">
        <w:rPr>
          <w:rFonts w:ascii="宋体" w:hAnsi="宋体" w:cs="宋体"/>
          <w:color w:val="000000"/>
          <w:kern w:val="0"/>
          <w:sz w:val="24"/>
          <w:szCs w:val="24"/>
        </w:rPr>
        <w:t>委员会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提供公司有关方面的书面资料：</w:t>
      </w:r>
    </w:p>
    <w:p w:rsidR="00984A64" w:rsidRPr="00835054" w:rsidRDefault="00ED2705" w:rsidP="0032798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（一）由公司有关部门或控股（参股）企业的负责人上报重大投资融资、资本运作、资产经营项目的意向、初步可行性报告以及合作方的基本情况等资料；</w:t>
      </w:r>
    </w:p>
    <w:p w:rsidR="00984A64" w:rsidRPr="00835054" w:rsidRDefault="00ED2705" w:rsidP="0032798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（二）由投资评审小组进行初审，签发立项意见书，并报告战略委员会备案； </w:t>
      </w:r>
    </w:p>
    <w:p w:rsidR="00984A64" w:rsidRPr="00835054" w:rsidRDefault="00ED2705" w:rsidP="0032798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（三）公司有关部门或者控股（参股）企业对外进行协议、合同、章程及可行性报告等洽谈并上报投资评审小组；</w:t>
      </w:r>
    </w:p>
    <w:p w:rsidR="00984A64" w:rsidRPr="00835054" w:rsidRDefault="00ED2705" w:rsidP="0032798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（四）由投资评审小组进行评审，签发书面意见，并向战略委员会提交正式提案。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第十一条</w:t>
      </w:r>
      <w:r w:rsidR="00327982" w:rsidRPr="00835054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战略委员会根据投资评审小组的提案召开会议，进行讨论，将讨论结果提交董事会，同时反馈给投资评审小组。</w:t>
      </w:r>
    </w:p>
    <w:p w:rsidR="00984A64" w:rsidRPr="00835054" w:rsidRDefault="00ED2705" w:rsidP="00327982">
      <w:pPr>
        <w:widowControl/>
        <w:spacing w:beforeLines="50" w:before="156" w:afterLines="25" w:after="78" w:line="360" w:lineRule="auto"/>
        <w:jc w:val="center"/>
        <w:outlineLvl w:val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第五章</w:t>
      </w:r>
      <w:r w:rsidR="00255FDF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议事规则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</w:t>
      </w:r>
      <w:r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>十</w:t>
      </w:r>
      <w:r w:rsidR="00BC646A"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</w:t>
      </w:r>
      <w:r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>条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战略委员会根据工作需要不定期召开会议。正常情况下，会议召开3日前须通知（以</w:t>
      </w:r>
      <w:r w:rsidRPr="00835054">
        <w:rPr>
          <w:rFonts w:ascii="宋体" w:hAnsi="宋体" w:cs="宋体" w:hint="eastAsia"/>
          <w:kern w:val="0"/>
          <w:sz w:val="24"/>
          <w:szCs w:val="24"/>
        </w:rPr>
        <w:t>电子邮件、</w:t>
      </w:r>
      <w:r w:rsidR="00A35F52">
        <w:rPr>
          <w:rFonts w:ascii="宋体" w:hAnsi="宋体" w:cs="宋体" w:hint="eastAsia"/>
          <w:kern w:val="0"/>
          <w:sz w:val="24"/>
          <w:szCs w:val="24"/>
        </w:rPr>
        <w:t>邮件</w:t>
      </w:r>
      <w:r w:rsidR="00A35F52">
        <w:rPr>
          <w:rFonts w:ascii="宋体" w:hAnsi="宋体" w:cs="宋体"/>
          <w:kern w:val="0"/>
          <w:sz w:val="24"/>
          <w:szCs w:val="24"/>
        </w:rPr>
        <w:t>、</w:t>
      </w:r>
      <w:r w:rsidRPr="00835054">
        <w:rPr>
          <w:rFonts w:ascii="宋体" w:hAnsi="宋体" w:cs="宋体"/>
          <w:kern w:val="0"/>
          <w:sz w:val="24"/>
          <w:szCs w:val="24"/>
        </w:rPr>
        <w:t>电话</w:t>
      </w:r>
      <w:r w:rsidRPr="00835054">
        <w:rPr>
          <w:rFonts w:ascii="宋体" w:hAnsi="宋体" w:cs="宋体" w:hint="eastAsia"/>
          <w:kern w:val="0"/>
          <w:sz w:val="24"/>
          <w:szCs w:val="24"/>
        </w:rPr>
        <w:t>、短信</w:t>
      </w:r>
      <w:r w:rsidR="00A35F52">
        <w:rPr>
          <w:rFonts w:ascii="宋体" w:hAnsi="宋体" w:cs="宋体" w:hint="eastAsia"/>
          <w:kern w:val="0"/>
          <w:sz w:val="24"/>
          <w:szCs w:val="24"/>
        </w:rPr>
        <w:t>及</w:t>
      </w:r>
      <w:bookmarkStart w:id="2" w:name="_GoBack"/>
      <w:bookmarkEnd w:id="2"/>
      <w:r w:rsidR="00FB1BD7">
        <w:rPr>
          <w:rFonts w:ascii="宋体" w:hAnsi="宋体" w:cs="宋体" w:hint="eastAsia"/>
          <w:kern w:val="0"/>
          <w:sz w:val="24"/>
          <w:szCs w:val="24"/>
        </w:rPr>
        <w:t>专人送出</w:t>
      </w:r>
      <w:r w:rsidRPr="00835054">
        <w:rPr>
          <w:rFonts w:ascii="宋体" w:hAnsi="宋体" w:cs="宋体" w:hint="eastAsia"/>
          <w:kern w:val="0"/>
          <w:sz w:val="24"/>
          <w:szCs w:val="24"/>
        </w:rPr>
        <w:t>等方式</w:t>
      </w:r>
      <w:r w:rsidRPr="00835054">
        <w:rPr>
          <w:rFonts w:ascii="宋体" w:hAnsi="宋体" w:cs="宋体"/>
          <w:color w:val="000000"/>
          <w:kern w:val="0"/>
          <w:sz w:val="24"/>
          <w:szCs w:val="24"/>
        </w:rPr>
        <w:t>）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全体委员。情况紧急，需要尽快召开临时会议的，可以随时通过电话或者其他口头方式发出会议通知，但召集人应当在会议上作出说明。</w:t>
      </w:r>
    </w:p>
    <w:p w:rsidR="00292BB9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第十</w:t>
      </w:r>
      <w:r w:rsidR="00BC646A"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</w:t>
      </w: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条</w:t>
      </w:r>
      <w:r w:rsidR="00327982" w:rsidRPr="00835054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战略委员会会议</w:t>
      </w:r>
      <w:r w:rsidR="00BC646A"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须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有三分之二以上的委员出席方可举行</w:t>
      </w:r>
      <w:r w:rsidR="00292BB9"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第十</w:t>
      </w:r>
      <w:r w:rsidR="00BC646A"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四</w:t>
      </w: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条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</w:t>
      </w:r>
      <w:r w:rsidRPr="00835054">
        <w:rPr>
          <w:rFonts w:ascii="宋体" w:hAnsi="宋体" w:cs="宋体"/>
          <w:color w:val="000000"/>
          <w:kern w:val="0"/>
          <w:sz w:val="24"/>
          <w:szCs w:val="24"/>
        </w:rPr>
        <w:t>委员会</w:t>
      </w:r>
      <w:r w:rsidR="00292BB9"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会议原则上应当采用现场会议的形式，</w:t>
      </w:r>
      <w:r w:rsidRPr="00835054">
        <w:rPr>
          <w:rFonts w:ascii="宋体" w:hAnsi="宋体" w:cs="宋体"/>
          <w:color w:val="000000"/>
          <w:kern w:val="0"/>
          <w:sz w:val="24"/>
          <w:szCs w:val="24"/>
        </w:rPr>
        <w:t>在保证全体参会人员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能够</w:t>
      </w:r>
      <w:r w:rsidRPr="00835054">
        <w:rPr>
          <w:rFonts w:ascii="宋体" w:hAnsi="宋体" w:cs="宋体"/>
          <w:color w:val="000000"/>
          <w:kern w:val="0"/>
          <w:sz w:val="24"/>
          <w:szCs w:val="24"/>
        </w:rPr>
        <w:t>充分沟通并表达意见的前提下，必要时可以依照程序采取视频、电话或其他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方式</w:t>
      </w:r>
      <w:r w:rsidRPr="00835054">
        <w:rPr>
          <w:rFonts w:ascii="宋体" w:hAnsi="宋体" w:cs="宋体"/>
          <w:color w:val="000000"/>
          <w:kern w:val="0"/>
          <w:sz w:val="24"/>
          <w:szCs w:val="24"/>
        </w:rPr>
        <w:t>召开。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第十</w:t>
      </w:r>
      <w:r w:rsidR="00BC646A" w:rsidRPr="0083505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五</w:t>
      </w:r>
      <w:r w:rsidRPr="0083505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条</w:t>
      </w:r>
      <w:r w:rsidR="00327982" w:rsidRPr="0083505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="00327982" w:rsidRPr="00835054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战略委员会召集人负责召集和主持战略委员会会议。战略委员会召集人不能或者拒绝履行职责时，由过半数的战略委员会成员共同推举一名独立董事成员主持。</w:t>
      </w:r>
    </w:p>
    <w:p w:rsidR="00BC646A" w:rsidRPr="00835054" w:rsidRDefault="00ED2705" w:rsidP="00327982">
      <w:pPr>
        <w:numPr>
          <w:ilvl w:val="255"/>
          <w:numId w:val="0"/>
        </w:num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第十</w:t>
      </w:r>
      <w:r w:rsidR="00BC646A"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六</w:t>
      </w: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条</w:t>
      </w:r>
      <w:r w:rsidR="00327982" w:rsidRPr="00835054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战略委员会成员应当亲自出席会议，并对审议事项表达明确的意见。委员因故不能亲自出席会议时，应当事先审阅会议材料，形成明确的意见</w:t>
      </w:r>
      <w:r w:rsidR="00BC646A" w:rsidRPr="0083505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并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将该意见记载于授权委托书，</w:t>
      </w:r>
      <w:r w:rsidRPr="0083505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并书面委托其他委员代为出席。</w:t>
      </w:r>
      <w:r w:rsidR="00BC646A"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每一名战略委员会成员最多接受一名成员委托，授权委托书须明确授权范围和期限。</w:t>
      </w:r>
      <w:r w:rsidR="00BC646A" w:rsidRPr="00835054">
        <w:rPr>
          <w:rFonts w:ascii="宋体" w:hAnsi="宋体" w:cs="宋体"/>
          <w:color w:val="000000"/>
          <w:kern w:val="0"/>
          <w:sz w:val="24"/>
          <w:szCs w:val="24"/>
        </w:rPr>
        <w:t>独立董事委员因故不能亲自出席会议的，应委托其他独立董事委员代为出席。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第十</w:t>
      </w:r>
      <w:r w:rsidR="00BC646A" w:rsidRPr="0083505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七</w:t>
      </w:r>
      <w:r w:rsidRPr="0083505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条</w:t>
      </w:r>
      <w:r w:rsidR="00327982" w:rsidRPr="00835054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战略委员会委员既不亲自出席会议，也未委托其他委员代为出席的，视为未出席相关会议。连续两次无故不出席会议的，视为不能履行其职权，公司董事会可以撤销其委员职务。</w:t>
      </w:r>
    </w:p>
    <w:p w:rsidR="00BC646A" w:rsidRPr="00835054" w:rsidRDefault="00BC646A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第十八条</w:t>
      </w:r>
      <w:r w:rsidR="00327982" w:rsidRPr="00835054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战略委员会作出决议，应当经战略委员会成员过半数通过。战略委员会决议的表决，应当一人一票。</w:t>
      </w:r>
    </w:p>
    <w:p w:rsidR="00292BB9" w:rsidRPr="00835054" w:rsidRDefault="00292BB9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第十</w:t>
      </w:r>
      <w:r w:rsidR="00BC646A" w:rsidRPr="0083505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九</w:t>
      </w:r>
      <w:r w:rsidRPr="0083505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条</w:t>
      </w:r>
      <w:r w:rsidR="00327982" w:rsidRPr="00835054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战略委员会会议表决方式为举手表决或投票表决，会议可采取通讯表决的方式，表决后需在会议决议上签字确认。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第二十条</w:t>
      </w:r>
      <w:r w:rsidR="00327982" w:rsidRPr="00835054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投资评审小组成员可列席战略委员会会议，必要时亦可邀请公司</w:t>
      </w:r>
      <w:r w:rsidR="00BC646A"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其他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董事、高级管理人员列席会议。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第二十一条</w:t>
      </w:r>
      <w:r w:rsidR="00327982"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如有必要，战略委员会可以聘请中介机构为其决策提供专业意见，相关费用由公司支付。</w:t>
      </w:r>
    </w:p>
    <w:p w:rsidR="00B17AE6" w:rsidRPr="00835054" w:rsidRDefault="00ED2705" w:rsidP="00B17AE6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第二十二条</w:t>
      </w:r>
      <w:r w:rsidR="00327982"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</w:t>
      </w:r>
      <w:r w:rsidR="00B17AE6"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战略委员会成员若与会议讨论事项存在利害关系，须予以回避。因回避无法形成有效审议意见的，应将相关事项提交董事会审议。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第二十三条</w:t>
      </w:r>
      <w:r w:rsidR="00327982" w:rsidRPr="00835054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战略委员会会议的召开程序、表决方式和会议通过的议案必须遵循有关法律、法规、《公司章程》及本实施细则的规定。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第二十四条</w:t>
      </w:r>
      <w:r w:rsidR="00327982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战略委员会会议应当按规定制作会议记录，</w:t>
      </w:r>
      <w:r w:rsidRPr="0083505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会议记录应当真实、</w:t>
      </w:r>
      <w:r w:rsidR="00A87C74" w:rsidRPr="0083505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准确、完整，充分反映</w:t>
      </w:r>
      <w:r w:rsidRPr="0083505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与会人员对所审议事项发表的意见。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出席会议的委员应当在会议记录上签名。会议记录</w:t>
      </w:r>
      <w:r w:rsidRPr="0083505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、会议决议、授权委托书等相关会议资料</w:t>
      </w:r>
      <w:r w:rsidR="00163205"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由公司董事会办公室保存，保存期限不少于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十年。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第二十五条</w:t>
      </w:r>
      <w:r w:rsidR="00327982" w:rsidRPr="00835054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战略委员会会议通过的议案及表决结果，应以书面形式报公司董事会。</w:t>
      </w:r>
    </w:p>
    <w:p w:rsidR="00984A64" w:rsidRPr="00835054" w:rsidRDefault="00ED2705" w:rsidP="00327982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第二十六条</w:t>
      </w:r>
      <w:r w:rsidR="00327982" w:rsidRPr="00835054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出席会议的委员、会议列席人员、记录人员均对会议所议事项有保密义务，不得擅自披露有关信息。</w:t>
      </w:r>
    </w:p>
    <w:p w:rsidR="00A13ED1" w:rsidRPr="00835054" w:rsidRDefault="00ED2705" w:rsidP="00327982">
      <w:pPr>
        <w:widowControl/>
        <w:spacing w:beforeLines="50" w:before="156" w:afterLines="25" w:after="78" w:line="360" w:lineRule="auto"/>
        <w:jc w:val="center"/>
        <w:outlineLvl w:val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第六章</w:t>
      </w:r>
      <w:r w:rsidR="00255FDF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附则</w:t>
      </w:r>
    </w:p>
    <w:p w:rsidR="00984A64" w:rsidRPr="00835054" w:rsidRDefault="00ED2705" w:rsidP="0095021C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第二十七条</w:t>
      </w:r>
      <w:r w:rsidR="0095021C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本实施细则未尽事宜，按国家有关法律、法规、《公司章程》及其他有关规定执行；本实施细则如与国家日后颁布的法律、法规或经合法程序修改后的《公司章程》及其他有关规定相抵触时，按国家有关法律、法规、《公司章程》及其他有关规定执行，并应及时修订，报董事会审议通过。</w:t>
      </w:r>
    </w:p>
    <w:p w:rsidR="00984A64" w:rsidRPr="00835054" w:rsidRDefault="00ED2705" w:rsidP="0095021C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第二十八条</w:t>
      </w:r>
      <w:r w:rsidR="0095021C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本实施细则所称“以上”含本数；“低于”不含本数。</w:t>
      </w:r>
    </w:p>
    <w:p w:rsidR="00984A64" w:rsidRPr="00835054" w:rsidRDefault="00ED2705" w:rsidP="0095021C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第二十九条</w:t>
      </w:r>
      <w:r w:rsidR="0095021C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本实施细则由公司董事会负责</w:t>
      </w:r>
      <w:r w:rsidRPr="00835054">
        <w:rPr>
          <w:rFonts w:ascii="宋体" w:hAnsi="宋体" w:cs="宋体"/>
          <w:color w:val="000000"/>
          <w:kern w:val="0"/>
          <w:sz w:val="24"/>
          <w:szCs w:val="24"/>
        </w:rPr>
        <w:t>解释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93C71" w:rsidRDefault="00ED2705" w:rsidP="00B93C71">
      <w:pPr>
        <w:spacing w:line="360" w:lineRule="auto"/>
        <w:ind w:firstLineChars="200" w:firstLine="482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3505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第三十条</w:t>
      </w:r>
      <w:r w:rsidR="0095021C" w:rsidRPr="00835054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</w:t>
      </w:r>
      <w:r w:rsidRPr="00835054">
        <w:rPr>
          <w:rFonts w:ascii="宋体" w:hAnsi="宋体" w:cs="宋体" w:hint="eastAsia"/>
          <w:color w:val="000000"/>
          <w:kern w:val="0"/>
          <w:sz w:val="24"/>
          <w:szCs w:val="24"/>
        </w:rPr>
        <w:t>本实施细则自公司董事会审议通过之日起生效，</w:t>
      </w:r>
      <w:r w:rsidR="00B93C7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修改时亦</w:t>
      </w:r>
      <w:r w:rsidR="00B93C71">
        <w:rPr>
          <w:rFonts w:ascii="宋体" w:hAnsi="宋体" w:cs="宋体"/>
          <w:bCs/>
          <w:color w:val="000000"/>
          <w:kern w:val="0"/>
          <w:sz w:val="24"/>
          <w:szCs w:val="24"/>
        </w:rPr>
        <w:t>同。</w:t>
      </w:r>
    </w:p>
    <w:p w:rsidR="005562F4" w:rsidRDefault="005562F4" w:rsidP="00B93C71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5562F4" w:rsidRDefault="005562F4" w:rsidP="00B93C71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5562F4" w:rsidRDefault="005562F4" w:rsidP="005562F4">
      <w:pPr>
        <w:spacing w:line="360" w:lineRule="auto"/>
        <w:ind w:right="480"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南京宝色股份公司</w:t>
      </w:r>
    </w:p>
    <w:p w:rsidR="005562F4" w:rsidRDefault="005562F4" w:rsidP="005562F4">
      <w:pPr>
        <w:spacing w:line="360" w:lineRule="auto"/>
        <w:ind w:right="480" w:firstLineChars="200" w:firstLine="480"/>
        <w:jc w:val="center"/>
        <w:rPr>
          <w:szCs w:val="22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         二〇二</w:t>
      </w:r>
      <w:r>
        <w:t>五年七月</w:t>
      </w:r>
    </w:p>
    <w:p w:rsidR="005562F4" w:rsidRPr="005562F4" w:rsidRDefault="005562F4" w:rsidP="00B93C71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984A64" w:rsidRPr="00B93C71" w:rsidRDefault="00984A64" w:rsidP="0095021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</w:p>
    <w:sectPr w:rsidR="00984A64" w:rsidRPr="00B93C71" w:rsidSect="00984A64">
      <w:headerReference w:type="default" r:id="rId6"/>
      <w:footerReference w:type="default" r:id="rId7"/>
      <w:pgSz w:w="11907" w:h="16840"/>
      <w:pgMar w:top="1440" w:right="1588" w:bottom="1440" w:left="1588" w:header="1020" w:footer="107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E3" w:rsidRDefault="00E768E3" w:rsidP="00984A64">
      <w:r>
        <w:separator/>
      </w:r>
    </w:p>
  </w:endnote>
  <w:endnote w:type="continuationSeparator" w:id="0">
    <w:p w:rsidR="00E768E3" w:rsidRDefault="00E768E3" w:rsidP="0098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64" w:rsidRDefault="00F37BA6">
    <w:pPr>
      <w:pStyle w:val="a7"/>
      <w:jc w:val="center"/>
    </w:pPr>
    <w:r>
      <w:rPr>
        <w:rFonts w:ascii="Times New Roman" w:hAnsi="Times New Roman"/>
        <w:sz w:val="21"/>
        <w:szCs w:val="21"/>
      </w:rPr>
      <w:fldChar w:fldCharType="begin"/>
    </w:r>
    <w:r w:rsidR="00ED2705"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 w:rsidR="00E768E3" w:rsidRPr="00E768E3">
      <w:rPr>
        <w:rFonts w:ascii="Times New Roman" w:hAnsi="Times New Roman"/>
        <w:noProof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E3" w:rsidRDefault="00E768E3" w:rsidP="00984A64">
      <w:r>
        <w:separator/>
      </w:r>
    </w:p>
  </w:footnote>
  <w:footnote w:type="continuationSeparator" w:id="0">
    <w:p w:rsidR="00E768E3" w:rsidRDefault="00E768E3" w:rsidP="0098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64" w:rsidRDefault="00984A64"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1NTYzMjc4ZDdlMzA2YmM5ZTQ5OTIwOGEyMzU0MDUifQ=="/>
  </w:docVars>
  <w:rsids>
    <w:rsidRoot w:val="00412957"/>
    <w:rsid w:val="00011A46"/>
    <w:rsid w:val="00026CBB"/>
    <w:rsid w:val="0003137D"/>
    <w:rsid w:val="00035EB3"/>
    <w:rsid w:val="000763A2"/>
    <w:rsid w:val="000B0264"/>
    <w:rsid w:val="000E1623"/>
    <w:rsid w:val="000F4929"/>
    <w:rsid w:val="0012543D"/>
    <w:rsid w:val="00163205"/>
    <w:rsid w:val="00221A57"/>
    <w:rsid w:val="00255FDF"/>
    <w:rsid w:val="002627EC"/>
    <w:rsid w:val="00270C98"/>
    <w:rsid w:val="00287924"/>
    <w:rsid w:val="00292BB9"/>
    <w:rsid w:val="002A693D"/>
    <w:rsid w:val="002C72D8"/>
    <w:rsid w:val="002E260B"/>
    <w:rsid w:val="003103AD"/>
    <w:rsid w:val="00327982"/>
    <w:rsid w:val="003930AC"/>
    <w:rsid w:val="003A1197"/>
    <w:rsid w:val="003A2123"/>
    <w:rsid w:val="003A5676"/>
    <w:rsid w:val="003C0476"/>
    <w:rsid w:val="0040327F"/>
    <w:rsid w:val="00412957"/>
    <w:rsid w:val="00416DA1"/>
    <w:rsid w:val="00425E94"/>
    <w:rsid w:val="00443FFD"/>
    <w:rsid w:val="00446D78"/>
    <w:rsid w:val="00461B24"/>
    <w:rsid w:val="00470E7D"/>
    <w:rsid w:val="00471AD9"/>
    <w:rsid w:val="004930BE"/>
    <w:rsid w:val="00513C74"/>
    <w:rsid w:val="00535C59"/>
    <w:rsid w:val="005467FE"/>
    <w:rsid w:val="00554AA4"/>
    <w:rsid w:val="005562F4"/>
    <w:rsid w:val="005A6D5F"/>
    <w:rsid w:val="005F210D"/>
    <w:rsid w:val="006406DF"/>
    <w:rsid w:val="006626F0"/>
    <w:rsid w:val="006716F0"/>
    <w:rsid w:val="0069138A"/>
    <w:rsid w:val="006D56B9"/>
    <w:rsid w:val="006D5E27"/>
    <w:rsid w:val="0075412F"/>
    <w:rsid w:val="007B19D5"/>
    <w:rsid w:val="007B1BF8"/>
    <w:rsid w:val="007B2F66"/>
    <w:rsid w:val="007B6238"/>
    <w:rsid w:val="007B683C"/>
    <w:rsid w:val="007C2220"/>
    <w:rsid w:val="007D7649"/>
    <w:rsid w:val="007F35E4"/>
    <w:rsid w:val="007F4130"/>
    <w:rsid w:val="00802472"/>
    <w:rsid w:val="00832D40"/>
    <w:rsid w:val="00835054"/>
    <w:rsid w:val="00862DCF"/>
    <w:rsid w:val="0090530D"/>
    <w:rsid w:val="0095021C"/>
    <w:rsid w:val="00957806"/>
    <w:rsid w:val="00973F01"/>
    <w:rsid w:val="009823CF"/>
    <w:rsid w:val="00984A64"/>
    <w:rsid w:val="00997240"/>
    <w:rsid w:val="009C1853"/>
    <w:rsid w:val="009D0116"/>
    <w:rsid w:val="009D38F5"/>
    <w:rsid w:val="009E152E"/>
    <w:rsid w:val="009E6A90"/>
    <w:rsid w:val="00A11F06"/>
    <w:rsid w:val="00A13ED1"/>
    <w:rsid w:val="00A35F52"/>
    <w:rsid w:val="00A42E9B"/>
    <w:rsid w:val="00A87C74"/>
    <w:rsid w:val="00AA15BC"/>
    <w:rsid w:val="00AB6DA7"/>
    <w:rsid w:val="00B10AA3"/>
    <w:rsid w:val="00B167E9"/>
    <w:rsid w:val="00B16F33"/>
    <w:rsid w:val="00B17AE6"/>
    <w:rsid w:val="00B463D9"/>
    <w:rsid w:val="00B7640F"/>
    <w:rsid w:val="00B91F5C"/>
    <w:rsid w:val="00B93C71"/>
    <w:rsid w:val="00BB218C"/>
    <w:rsid w:val="00BC646A"/>
    <w:rsid w:val="00BD5174"/>
    <w:rsid w:val="00C05D4E"/>
    <w:rsid w:val="00C07B79"/>
    <w:rsid w:val="00C26255"/>
    <w:rsid w:val="00C37FD4"/>
    <w:rsid w:val="00C7179B"/>
    <w:rsid w:val="00C95595"/>
    <w:rsid w:val="00CC1633"/>
    <w:rsid w:val="00CD564B"/>
    <w:rsid w:val="00CE5A44"/>
    <w:rsid w:val="00D17C1C"/>
    <w:rsid w:val="00D41FD1"/>
    <w:rsid w:val="00D44773"/>
    <w:rsid w:val="00D53CDD"/>
    <w:rsid w:val="00D5405D"/>
    <w:rsid w:val="00D64274"/>
    <w:rsid w:val="00D80B9D"/>
    <w:rsid w:val="00DA4E72"/>
    <w:rsid w:val="00DA5E98"/>
    <w:rsid w:val="00DB7364"/>
    <w:rsid w:val="00DB7478"/>
    <w:rsid w:val="00DC2560"/>
    <w:rsid w:val="00E42B65"/>
    <w:rsid w:val="00E768E3"/>
    <w:rsid w:val="00E834D3"/>
    <w:rsid w:val="00E91086"/>
    <w:rsid w:val="00EA7A1F"/>
    <w:rsid w:val="00ED2705"/>
    <w:rsid w:val="00EF5DE2"/>
    <w:rsid w:val="00F17A61"/>
    <w:rsid w:val="00F37BA6"/>
    <w:rsid w:val="00F62EF3"/>
    <w:rsid w:val="00F87DF9"/>
    <w:rsid w:val="00FB1BD7"/>
    <w:rsid w:val="00FB2015"/>
    <w:rsid w:val="00FC1F38"/>
    <w:rsid w:val="00FC7F43"/>
    <w:rsid w:val="00FF5BC4"/>
    <w:rsid w:val="0E0C2CDF"/>
    <w:rsid w:val="167220AA"/>
    <w:rsid w:val="277968D5"/>
    <w:rsid w:val="28537C83"/>
    <w:rsid w:val="2B5555DB"/>
    <w:rsid w:val="45687AE5"/>
    <w:rsid w:val="473C166F"/>
    <w:rsid w:val="480B1EC5"/>
    <w:rsid w:val="4E3F06AA"/>
    <w:rsid w:val="5FDB1537"/>
    <w:rsid w:val="6FAB0BA1"/>
    <w:rsid w:val="75A42B23"/>
    <w:rsid w:val="77AE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0B7C0"/>
  <w15:docId w15:val="{92FF384E-BA8E-413A-A554-D7753B7F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6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984A64"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sid w:val="00984A6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984A6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9">
    <w:name w:val="header"/>
    <w:basedOn w:val="a"/>
    <w:link w:val="aa"/>
    <w:unhideWhenUsed/>
    <w:qFormat/>
    <w:rsid w:val="0098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sid w:val="00984A64"/>
    <w:rPr>
      <w:b/>
      <w:bCs/>
    </w:rPr>
  </w:style>
  <w:style w:type="character" w:styleId="ad">
    <w:name w:val="annotation reference"/>
    <w:uiPriority w:val="99"/>
    <w:unhideWhenUsed/>
    <w:qFormat/>
    <w:rsid w:val="00984A64"/>
    <w:rPr>
      <w:sz w:val="21"/>
      <w:szCs w:val="21"/>
    </w:rPr>
  </w:style>
  <w:style w:type="character" w:customStyle="1" w:styleId="a4">
    <w:name w:val="批注文字 字符"/>
    <w:link w:val="a3"/>
    <w:uiPriority w:val="99"/>
    <w:qFormat/>
    <w:rsid w:val="00984A64"/>
    <w:rPr>
      <w:rFonts w:ascii="Times New Roman" w:hAnsi="Times New Roman"/>
      <w:kern w:val="2"/>
      <w:sz w:val="21"/>
    </w:rPr>
  </w:style>
  <w:style w:type="character" w:customStyle="1" w:styleId="a6">
    <w:name w:val="批注框文本 字符"/>
    <w:link w:val="a5"/>
    <w:uiPriority w:val="99"/>
    <w:semiHidden/>
    <w:qFormat/>
    <w:rsid w:val="00984A64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sid w:val="00984A64"/>
    <w:rPr>
      <w:sz w:val="18"/>
      <w:szCs w:val="18"/>
    </w:rPr>
  </w:style>
  <w:style w:type="character" w:customStyle="1" w:styleId="aa">
    <w:name w:val="页眉 字符"/>
    <w:link w:val="a9"/>
    <w:semiHidden/>
    <w:qFormat/>
    <w:rsid w:val="00984A64"/>
    <w:rPr>
      <w:rFonts w:ascii="Times New Roman" w:hAnsi="Times New Roman"/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qFormat/>
    <w:rsid w:val="00984A64"/>
    <w:rPr>
      <w:rFonts w:ascii="Times New Roman" w:hAnsi="Times New Roman"/>
      <w:b/>
      <w:bCs/>
      <w:kern w:val="2"/>
      <w:sz w:val="21"/>
    </w:rPr>
  </w:style>
  <w:style w:type="paragraph" w:customStyle="1" w:styleId="Default">
    <w:name w:val="Default"/>
    <w:uiPriority w:val="99"/>
    <w:qFormat/>
    <w:rsid w:val="00984A64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CM50">
    <w:name w:val="CM50"/>
    <w:basedOn w:val="Default"/>
    <w:next w:val="Default"/>
    <w:qFormat/>
    <w:rsid w:val="00984A64"/>
    <w:pPr>
      <w:spacing w:line="313" w:lineRule="atLeast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qFormat/>
    <w:rsid w:val="00984A64"/>
    <w:pPr>
      <w:spacing w:line="313" w:lineRule="atLeast"/>
    </w:pPr>
    <w:rPr>
      <w:rFonts w:cs="Times New Roman"/>
      <w:color w:val="auto"/>
    </w:rPr>
  </w:style>
  <w:style w:type="paragraph" w:customStyle="1" w:styleId="1">
    <w:name w:val="修订1"/>
    <w:uiPriority w:val="99"/>
    <w:unhideWhenUsed/>
    <w:qFormat/>
    <w:rsid w:val="00984A64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393</Words>
  <Characters>2246</Characters>
  <Application>Microsoft Office Word</Application>
  <DocSecurity>0</DocSecurity>
  <Lines>18</Lines>
  <Paragraphs>5</Paragraphs>
  <ScaleCrop>false</ScaleCrop>
  <Company>微软中国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sweet</cp:lastModifiedBy>
  <cp:revision>26</cp:revision>
  <cp:lastPrinted>2023-10-07T06:46:00Z</cp:lastPrinted>
  <dcterms:created xsi:type="dcterms:W3CDTF">2024-01-16T09:18:00Z</dcterms:created>
  <dcterms:modified xsi:type="dcterms:W3CDTF">2025-07-28T09:47:00Z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1482488DB5814D35A7690FB292967859_13</vt:lpwstr>
  </property>
  <property fmtid="{D5CDD505-2E9C-101B-9397-08002B2CF9AE}" pid="4" name="KSOTemplateDocerSaveRecord">
    <vt:lpwstr>eyJoZGlkIjoiMDU1NTYzMjc4ZDdlMzA2YmM5ZTQ5OTIwOGEyMzU0MDUiLCJ1c2VySWQiOiIzOTg5NDAzMzQifQ==</vt:lpwstr>
  </property>
</Properties>
</file>