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9F" w:rsidRDefault="0072379F">
      <w:pPr>
        <w:spacing w:afterLines="50" w:after="156" w:line="360" w:lineRule="auto"/>
        <w:ind w:firstLineChars="200" w:firstLine="420"/>
        <w:jc w:val="right"/>
      </w:pPr>
    </w:p>
    <w:p w:rsidR="0072379F" w:rsidRDefault="00D11E3C">
      <w:pPr>
        <w:spacing w:line="360" w:lineRule="auto"/>
        <w:jc w:val="center"/>
        <w:rPr>
          <w:rFonts w:ascii="楷体" w:eastAsia="楷体" w:hAnsi="楷体" w:cs="楷体"/>
          <w:b/>
          <w:sz w:val="32"/>
          <w:szCs w:val="32"/>
        </w:rPr>
      </w:pPr>
      <w:r>
        <w:rPr>
          <w:rFonts w:ascii="楷体" w:eastAsia="楷体" w:hAnsi="楷体" w:cs="楷体" w:hint="eastAsia"/>
          <w:b/>
          <w:sz w:val="32"/>
          <w:szCs w:val="32"/>
        </w:rPr>
        <w:t>北京观韬（西安）律师事务所</w:t>
      </w:r>
    </w:p>
    <w:p w:rsidR="0072379F" w:rsidRDefault="00D11E3C">
      <w:pPr>
        <w:spacing w:line="360" w:lineRule="auto"/>
        <w:jc w:val="center"/>
        <w:rPr>
          <w:rFonts w:ascii="楷体" w:eastAsia="楷体" w:hAnsi="楷体" w:cs="楷体"/>
          <w:b/>
          <w:sz w:val="32"/>
          <w:szCs w:val="32"/>
        </w:rPr>
      </w:pPr>
      <w:r>
        <w:rPr>
          <w:rFonts w:ascii="楷体" w:eastAsia="楷体" w:hAnsi="楷体" w:cs="楷体" w:hint="eastAsia"/>
          <w:b/>
          <w:sz w:val="32"/>
          <w:szCs w:val="32"/>
        </w:rPr>
        <w:t>关于南京宝色股份公司</w:t>
      </w:r>
    </w:p>
    <w:p w:rsidR="0072379F" w:rsidRDefault="00D11E3C">
      <w:pPr>
        <w:spacing w:line="360" w:lineRule="auto"/>
        <w:jc w:val="center"/>
        <w:rPr>
          <w:rFonts w:ascii="楷体" w:eastAsia="楷体" w:hAnsi="楷体" w:cs="楷体"/>
          <w:b/>
          <w:sz w:val="32"/>
          <w:szCs w:val="32"/>
        </w:rPr>
      </w:pPr>
      <w:r>
        <w:rPr>
          <w:rFonts w:ascii="楷体" w:eastAsia="楷体" w:hAnsi="楷体" w:cs="楷体" w:hint="eastAsia"/>
          <w:b/>
          <w:sz w:val="32"/>
          <w:szCs w:val="32"/>
        </w:rPr>
        <w:t>202</w:t>
      </w:r>
      <w:r>
        <w:rPr>
          <w:rFonts w:ascii="楷体" w:eastAsia="楷体" w:hAnsi="楷体" w:cs="楷体" w:hint="eastAsia"/>
          <w:b/>
          <w:sz w:val="32"/>
          <w:szCs w:val="32"/>
        </w:rPr>
        <w:t>4</w:t>
      </w:r>
      <w:r>
        <w:rPr>
          <w:rFonts w:ascii="楷体" w:eastAsia="楷体" w:hAnsi="楷体" w:cs="楷体" w:hint="eastAsia"/>
          <w:b/>
          <w:sz w:val="32"/>
          <w:szCs w:val="32"/>
        </w:rPr>
        <w:t>年</w:t>
      </w:r>
      <w:r>
        <w:rPr>
          <w:rFonts w:ascii="楷体" w:eastAsia="楷体" w:hAnsi="楷体" w:cs="楷体" w:hint="eastAsia"/>
          <w:b/>
          <w:sz w:val="32"/>
          <w:szCs w:val="32"/>
        </w:rPr>
        <w:t>年度</w:t>
      </w:r>
      <w:r>
        <w:rPr>
          <w:rFonts w:ascii="楷体" w:eastAsia="楷体" w:hAnsi="楷体" w:cs="楷体" w:hint="eastAsia"/>
          <w:b/>
          <w:sz w:val="32"/>
          <w:szCs w:val="32"/>
        </w:rPr>
        <w:t>股东大会的法律意见书</w:t>
      </w:r>
    </w:p>
    <w:p w:rsidR="0072379F" w:rsidRDefault="0072379F">
      <w:pPr>
        <w:spacing w:line="360" w:lineRule="auto"/>
        <w:jc w:val="right"/>
        <w:rPr>
          <w:rFonts w:ascii="楷体" w:eastAsia="楷体" w:hAnsi="楷体" w:cs="楷体"/>
          <w:b/>
          <w:sz w:val="24"/>
          <w:szCs w:val="24"/>
        </w:rPr>
      </w:pPr>
    </w:p>
    <w:p w:rsidR="0072379F" w:rsidRDefault="00D11E3C">
      <w:pPr>
        <w:spacing w:beforeLines="50" w:before="156" w:afterLines="50" w:after="156" w:line="360" w:lineRule="auto"/>
        <w:ind w:firstLineChars="2400" w:firstLine="5783"/>
        <w:rPr>
          <w:rFonts w:ascii="楷体" w:eastAsia="楷体" w:hAnsi="楷体" w:cs="楷体"/>
          <w:b/>
          <w:bCs/>
          <w:sz w:val="24"/>
        </w:rPr>
      </w:pPr>
      <w:r>
        <w:rPr>
          <w:rFonts w:ascii="楷体" w:eastAsia="楷体" w:hAnsi="楷体" w:cs="楷体" w:hint="eastAsia"/>
          <w:b/>
          <w:sz w:val="24"/>
          <w:szCs w:val="24"/>
        </w:rPr>
        <w:t>观意字</w:t>
      </w:r>
      <w:r>
        <w:rPr>
          <w:rFonts w:ascii="楷体" w:eastAsia="楷体" w:hAnsi="楷体" w:cs="楷体" w:hint="eastAsia"/>
          <w:b/>
          <w:sz w:val="24"/>
          <w:szCs w:val="24"/>
        </w:rPr>
        <w:t>2025XA000175</w:t>
      </w:r>
      <w:r>
        <w:rPr>
          <w:rFonts w:ascii="楷体" w:eastAsia="楷体" w:hAnsi="楷体" w:cs="楷体" w:hint="eastAsia"/>
          <w:b/>
          <w:sz w:val="24"/>
          <w:szCs w:val="24"/>
        </w:rPr>
        <w:t>号</w:t>
      </w:r>
    </w:p>
    <w:p w:rsidR="0072379F" w:rsidRDefault="00D11E3C">
      <w:pPr>
        <w:spacing w:beforeLines="50" w:before="156" w:afterLines="50" w:after="156" w:line="360" w:lineRule="auto"/>
        <w:rPr>
          <w:rFonts w:ascii="楷体" w:eastAsia="楷体" w:hAnsi="楷体" w:cs="楷体"/>
          <w:b/>
          <w:bCs/>
          <w:sz w:val="24"/>
        </w:rPr>
      </w:pPr>
      <w:r>
        <w:rPr>
          <w:rFonts w:ascii="楷体" w:eastAsia="楷体" w:hAnsi="楷体" w:cs="楷体" w:hint="eastAsia"/>
          <w:b/>
          <w:bCs/>
          <w:sz w:val="24"/>
        </w:rPr>
        <w:t>致：南京宝色股份公司</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北京观韬（西安）律师事务所（以下简称“本所”）受南京宝色股份公司（以下简称“公司”）之委托，指派律师</w:t>
      </w:r>
      <w:r>
        <w:rPr>
          <w:rFonts w:ascii="楷体" w:eastAsia="楷体" w:hAnsi="楷体" w:cs="楷体" w:hint="eastAsia"/>
          <w:sz w:val="24"/>
        </w:rPr>
        <w:t>出席</w:t>
      </w:r>
      <w:r>
        <w:rPr>
          <w:rFonts w:ascii="楷体" w:eastAsia="楷体" w:hAnsi="楷体" w:cs="楷体" w:hint="eastAsia"/>
          <w:sz w:val="24"/>
        </w:rPr>
        <w:t>202</w:t>
      </w:r>
      <w:r>
        <w:rPr>
          <w:rFonts w:ascii="楷体" w:eastAsia="楷体" w:hAnsi="楷体" w:cs="楷体" w:hint="eastAsia"/>
          <w:sz w:val="24"/>
        </w:rPr>
        <w:t>5</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日召开的公司</w:t>
      </w:r>
      <w:r>
        <w:rPr>
          <w:rFonts w:ascii="楷体" w:eastAsia="楷体" w:hAnsi="楷体" w:cs="楷体" w:hint="eastAsia"/>
          <w:sz w:val="24"/>
        </w:rPr>
        <w:t>2024</w:t>
      </w:r>
      <w:r>
        <w:rPr>
          <w:rFonts w:ascii="楷体" w:eastAsia="楷体" w:hAnsi="楷体" w:cs="楷体" w:hint="eastAsia"/>
          <w:sz w:val="24"/>
        </w:rPr>
        <w:t>年年度股东大会（以下简称“本次股东大会”），</w:t>
      </w:r>
      <w:r>
        <w:rPr>
          <w:rFonts w:ascii="楷体" w:eastAsia="楷体" w:hAnsi="楷体" w:cs="楷体" w:hint="eastAsia"/>
          <w:sz w:val="24"/>
        </w:rPr>
        <w:t>并</w:t>
      </w:r>
      <w:r>
        <w:rPr>
          <w:rFonts w:ascii="楷体" w:eastAsia="楷体" w:hAnsi="楷体" w:cs="楷体" w:hint="eastAsia"/>
          <w:sz w:val="24"/>
        </w:rPr>
        <w:t>根据《中华人民共和国公司法》（以下简称“《公司法》”）、《中华人民共和国证券法》（以下简称“《证券法》”）等相关法律、行政法规、《上市公司股东会规则》（以下简称“《规则》”）以及公司现行有效的《公司章程》的有关规定，就本次股东大会相关事项出具本法律意见书。</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为出具本法律意见书，本所律师查询了公司在信息披露媒体上刊登的相关公告，核查了公司提供的有关本次股东大会的文件，听取了公司就有关事实的陈述和说明，列席了本次股东大会。公司已经向本所律师提供了本所律师认为出具本法律意见书所必需的、真实、准确、完整的原始书面材</w:t>
      </w:r>
      <w:r>
        <w:rPr>
          <w:rFonts w:ascii="楷体" w:eastAsia="楷体" w:hAnsi="楷体" w:cs="楷体" w:hint="eastAsia"/>
          <w:sz w:val="24"/>
        </w:rPr>
        <w:t>料、副本材料或者口头证言，并无任何隐瞒、虚假、误导或重大遗漏之处；公司保证提供的正本与副本一致、原件与复印件一致；公司保证所提供的文件、材料上的所有签字和印章均是真实的；公司保证向本所律师作出的所有口头陈述和说明的事实均与所发生的事实一致。</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本所及经办律师依据《公司法》《证券法》《律师事务所从事证券法律业务</w:t>
      </w:r>
      <w:r>
        <w:rPr>
          <w:rFonts w:ascii="楷体" w:eastAsia="楷体" w:hAnsi="楷体" w:cs="楷体" w:hint="eastAsia"/>
          <w:sz w:val="24"/>
        </w:rPr>
        <w:lastRenderedPageBreak/>
        <w:t>管理办法》和《律师事务所证券法律业务执业规则（试行）》等规定及本法律意见书出具日以前已经发生或者存在的事实，严格履行了法定职责，遵循了勤勉尽责和诚实信用原则，进行了充分的核查验证，保证本法律意见所认定的事</w:t>
      </w:r>
      <w:r>
        <w:rPr>
          <w:rFonts w:ascii="楷体" w:eastAsia="楷体" w:hAnsi="楷体" w:cs="楷体" w:hint="eastAsia"/>
          <w:sz w:val="24"/>
        </w:rPr>
        <w:t>实真实、准确、完整，所发表的结论性意见合法、准确，不存在虚假记载、误导性陈述或者重大遗漏，并承担相应法律责任。本法律意见书中涉及的股</w:t>
      </w:r>
      <w:r>
        <w:rPr>
          <w:rFonts w:ascii="楷体" w:eastAsia="楷体" w:hAnsi="楷体" w:cs="楷体" w:hint="eastAsia"/>
          <w:sz w:val="24"/>
        </w:rPr>
        <w:t>份</w:t>
      </w:r>
      <w:r>
        <w:rPr>
          <w:rFonts w:ascii="楷体" w:eastAsia="楷体" w:hAnsi="楷体" w:cs="楷体" w:hint="eastAsia"/>
          <w:sz w:val="24"/>
        </w:rPr>
        <w:t>比例数值均采用四舍五入并保留至小数点后四位。</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本法律意见书仅供公司为本次股东大会之目的而使用，除非事先取得本所律师的书面授权，任何单位和个人均不得将本法律意见书或其任何部分用作任何其他目的。</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本所同意公司将本法律意见书作为公司本次股东大会公告材料，随其他需公告的信息一起向公众披露。</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本所律师根据《规则》第</w:t>
      </w:r>
      <w:r>
        <w:rPr>
          <w:rFonts w:ascii="楷体" w:eastAsia="楷体" w:hAnsi="楷体" w:cs="楷体" w:hint="eastAsia"/>
          <w:sz w:val="24"/>
        </w:rPr>
        <w:t>六</w:t>
      </w:r>
      <w:r>
        <w:rPr>
          <w:rFonts w:ascii="楷体" w:eastAsia="楷体" w:hAnsi="楷体" w:cs="楷体" w:hint="eastAsia"/>
          <w:sz w:val="24"/>
        </w:rPr>
        <w:t>条的要求，按照律师行业公认的业务标准、道德规范和勤勉尽责精神，对公司提供的文件和有关事实进行了核查和验证，现出具法律意见如下：</w:t>
      </w:r>
    </w:p>
    <w:p w:rsidR="0072379F" w:rsidRDefault="00D11E3C">
      <w:pPr>
        <w:spacing w:beforeLines="50" w:before="156" w:afterLines="50" w:after="156" w:line="360" w:lineRule="auto"/>
        <w:ind w:firstLineChars="200" w:firstLine="482"/>
        <w:outlineLvl w:val="0"/>
        <w:rPr>
          <w:rFonts w:ascii="楷体" w:eastAsia="楷体" w:hAnsi="楷体" w:cs="楷体"/>
          <w:b/>
          <w:bCs/>
          <w:sz w:val="24"/>
        </w:rPr>
      </w:pPr>
      <w:r>
        <w:rPr>
          <w:rFonts w:ascii="楷体" w:eastAsia="楷体" w:hAnsi="楷体" w:cs="楷体" w:hint="eastAsia"/>
          <w:b/>
          <w:bCs/>
          <w:sz w:val="24"/>
        </w:rPr>
        <w:t>一、关于本次股东大会的召集和召开程序</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本次股东大会由</w:t>
      </w:r>
      <w:r>
        <w:rPr>
          <w:rFonts w:ascii="楷体" w:eastAsia="楷体" w:hAnsi="楷体" w:cs="楷体" w:hint="eastAsia"/>
          <w:sz w:val="24"/>
        </w:rPr>
        <w:t>公司</w:t>
      </w:r>
      <w:r>
        <w:rPr>
          <w:rFonts w:ascii="楷体" w:eastAsia="楷体" w:hAnsi="楷体" w:cs="楷体" w:hint="eastAsia"/>
          <w:sz w:val="24"/>
        </w:rPr>
        <w:t>董事会根据</w:t>
      </w:r>
      <w:r>
        <w:rPr>
          <w:rFonts w:ascii="楷体" w:eastAsia="楷体" w:hAnsi="楷体" w:cs="楷体" w:hint="eastAsia"/>
          <w:sz w:val="24"/>
        </w:rPr>
        <w:t>2025</w:t>
      </w:r>
      <w:r>
        <w:rPr>
          <w:rFonts w:ascii="楷体" w:eastAsia="楷体" w:hAnsi="楷体" w:cs="楷体" w:hint="eastAsia"/>
          <w:sz w:val="24"/>
        </w:rPr>
        <w:t>年</w:t>
      </w:r>
      <w:r>
        <w:rPr>
          <w:rFonts w:ascii="楷体" w:eastAsia="楷体" w:hAnsi="楷体" w:cs="楷体" w:hint="eastAsia"/>
          <w:sz w:val="24"/>
        </w:rPr>
        <w:t>4</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日召开的公司</w:t>
      </w:r>
      <w:r>
        <w:rPr>
          <w:rFonts w:ascii="楷体" w:eastAsia="楷体" w:hAnsi="楷体" w:cs="楷体" w:hint="eastAsia"/>
          <w:sz w:val="24"/>
        </w:rPr>
        <w:t>第</w:t>
      </w:r>
      <w:r>
        <w:rPr>
          <w:rFonts w:ascii="楷体" w:eastAsia="楷体" w:hAnsi="楷体" w:cs="楷体" w:hint="eastAsia"/>
          <w:sz w:val="24"/>
        </w:rPr>
        <w:t>六</w:t>
      </w:r>
      <w:r>
        <w:rPr>
          <w:rFonts w:ascii="楷体" w:eastAsia="楷体" w:hAnsi="楷体" w:cs="楷体" w:hint="eastAsia"/>
          <w:sz w:val="24"/>
        </w:rPr>
        <w:t>届董事会第</w:t>
      </w:r>
      <w:r>
        <w:rPr>
          <w:rFonts w:ascii="楷体" w:eastAsia="楷体" w:hAnsi="楷体" w:cs="楷体" w:hint="eastAsia"/>
          <w:sz w:val="24"/>
        </w:rPr>
        <w:t>十</w:t>
      </w:r>
      <w:r>
        <w:rPr>
          <w:rFonts w:ascii="楷体" w:eastAsia="楷体" w:hAnsi="楷体" w:cs="楷体" w:hint="eastAsia"/>
          <w:sz w:val="24"/>
        </w:rPr>
        <w:t>次会议</w:t>
      </w:r>
      <w:r>
        <w:rPr>
          <w:rFonts w:ascii="楷体" w:eastAsia="楷体" w:hAnsi="楷体" w:cs="楷体" w:hint="eastAsia"/>
          <w:sz w:val="24"/>
        </w:rPr>
        <w:t>决议召集</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公司董事会于</w:t>
      </w:r>
      <w:r>
        <w:rPr>
          <w:rFonts w:ascii="楷体" w:eastAsia="楷体" w:hAnsi="楷体" w:cs="楷体"/>
          <w:sz w:val="24"/>
        </w:rPr>
        <w:t>20</w:t>
      </w:r>
      <w:r>
        <w:rPr>
          <w:rFonts w:ascii="楷体" w:eastAsia="楷体" w:hAnsi="楷体" w:cs="楷体" w:hint="eastAsia"/>
          <w:sz w:val="24"/>
        </w:rPr>
        <w:t>2</w:t>
      </w:r>
      <w:r>
        <w:rPr>
          <w:rFonts w:ascii="楷体" w:eastAsia="楷体" w:hAnsi="楷体" w:cs="楷体" w:hint="eastAsia"/>
          <w:sz w:val="24"/>
        </w:rPr>
        <w:t>5</w:t>
      </w:r>
      <w:r>
        <w:rPr>
          <w:rFonts w:ascii="楷体" w:eastAsia="楷体" w:hAnsi="楷体" w:cs="楷体" w:hint="eastAsia"/>
          <w:sz w:val="24"/>
        </w:rPr>
        <w:t>年</w:t>
      </w:r>
      <w:r>
        <w:rPr>
          <w:rFonts w:ascii="楷体" w:eastAsia="楷体" w:hAnsi="楷体" w:cs="楷体" w:hint="eastAsia"/>
          <w:sz w:val="24"/>
        </w:rPr>
        <w:t>4</w:t>
      </w:r>
      <w:r>
        <w:rPr>
          <w:rFonts w:ascii="楷体" w:eastAsia="楷体" w:hAnsi="楷体" w:cs="楷体" w:hint="eastAsia"/>
          <w:sz w:val="24"/>
        </w:rPr>
        <w:t>月</w:t>
      </w:r>
      <w:r>
        <w:rPr>
          <w:rFonts w:ascii="楷体" w:eastAsia="楷体" w:hAnsi="楷体" w:cs="楷体" w:hint="eastAsia"/>
          <w:sz w:val="24"/>
        </w:rPr>
        <w:t>25</w:t>
      </w:r>
      <w:r>
        <w:rPr>
          <w:rFonts w:ascii="楷体" w:eastAsia="楷体" w:hAnsi="楷体" w:cs="楷体" w:hint="eastAsia"/>
          <w:sz w:val="24"/>
        </w:rPr>
        <w:t>日在中国证券监督管理委员会指定的信息披露媒体及相关网站上刊登了《南京宝色股份公司关于召开</w:t>
      </w:r>
      <w:r>
        <w:rPr>
          <w:rFonts w:ascii="楷体" w:eastAsia="楷体" w:hAnsi="楷体" w:cs="楷体" w:hint="eastAsia"/>
          <w:sz w:val="24"/>
        </w:rPr>
        <w:t>2024</w:t>
      </w:r>
      <w:r>
        <w:rPr>
          <w:rFonts w:ascii="楷体" w:eastAsia="楷体" w:hAnsi="楷体" w:cs="楷体" w:hint="eastAsia"/>
          <w:sz w:val="24"/>
        </w:rPr>
        <w:t>年年度股东大会的通知》（以下简称“《股东大会通知》”），以公告形式通知召开本次股东大会。</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《股东大会通知》载明了本次股东大</w:t>
      </w:r>
      <w:r>
        <w:rPr>
          <w:rFonts w:ascii="楷体" w:eastAsia="楷体" w:hAnsi="楷体" w:cs="楷体" w:hint="eastAsia"/>
          <w:sz w:val="24"/>
        </w:rPr>
        <w:t>会的会议届次、召集人、召开日期和时间、召开方式、会议出席对象、会议地点、会议审议事项、会议现场登记方法、参加网络投票的具体操作流程及会议联系方式等其他事项，说明了有权出席会议股东的股权登记日及其可委托代理人出席会议并参加表决的权利。公告的刊登日期距本次股东大会的召开日期已满</w:t>
      </w:r>
      <w:r>
        <w:rPr>
          <w:rFonts w:ascii="楷体" w:eastAsia="楷体" w:hAnsi="楷体" w:cs="楷体" w:hint="eastAsia"/>
          <w:sz w:val="24"/>
        </w:rPr>
        <w:t>20</w:t>
      </w:r>
      <w:r>
        <w:rPr>
          <w:rFonts w:ascii="楷体" w:eastAsia="楷体" w:hAnsi="楷体" w:cs="楷体" w:hint="eastAsia"/>
          <w:sz w:val="24"/>
        </w:rPr>
        <w:t>日。</w:t>
      </w:r>
    </w:p>
    <w:p w:rsidR="0072379F" w:rsidRDefault="00D11E3C">
      <w:pPr>
        <w:numPr>
          <w:ilvl w:val="255"/>
          <w:numId w:val="0"/>
        </w:num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公司本次股东大会采取现场投票与网络投票相结合的方式。公司本次股东大会现场会议于</w:t>
      </w:r>
      <w:r>
        <w:rPr>
          <w:rFonts w:ascii="楷体" w:eastAsia="楷体" w:hAnsi="楷体" w:cs="楷体" w:hint="eastAsia"/>
          <w:sz w:val="24"/>
        </w:rPr>
        <w:t>202</w:t>
      </w:r>
      <w:r>
        <w:rPr>
          <w:rFonts w:ascii="楷体" w:eastAsia="楷体" w:hAnsi="楷体" w:cs="楷体" w:hint="eastAsia"/>
          <w:sz w:val="24"/>
        </w:rPr>
        <w:t>5</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日下午</w:t>
      </w:r>
      <w:r>
        <w:rPr>
          <w:rFonts w:ascii="楷体" w:eastAsia="楷体" w:hAnsi="楷体" w:cs="楷体" w:hint="eastAsia"/>
          <w:sz w:val="24"/>
        </w:rPr>
        <w:t>1</w:t>
      </w:r>
      <w:r>
        <w:rPr>
          <w:rFonts w:ascii="楷体" w:eastAsia="楷体" w:hAnsi="楷体" w:cs="楷体" w:hint="eastAsia"/>
          <w:sz w:val="24"/>
        </w:rPr>
        <w:t>3</w:t>
      </w:r>
      <w:r>
        <w:rPr>
          <w:rFonts w:ascii="楷体" w:eastAsia="楷体" w:hAnsi="楷体" w:cs="楷体" w:hint="eastAsia"/>
          <w:sz w:val="24"/>
        </w:rPr>
        <w:t>：</w:t>
      </w:r>
      <w:r>
        <w:rPr>
          <w:rFonts w:ascii="楷体" w:eastAsia="楷体" w:hAnsi="楷体" w:cs="楷体" w:hint="eastAsia"/>
          <w:sz w:val="24"/>
        </w:rPr>
        <w:t>0</w:t>
      </w:r>
      <w:r>
        <w:rPr>
          <w:rFonts w:ascii="楷体" w:eastAsia="楷体" w:hAnsi="楷体" w:cs="楷体" w:hint="eastAsia"/>
          <w:sz w:val="24"/>
        </w:rPr>
        <w:t>0</w:t>
      </w:r>
      <w:r>
        <w:rPr>
          <w:rFonts w:ascii="楷体" w:eastAsia="楷体" w:hAnsi="楷体" w:cs="楷体" w:hint="eastAsia"/>
          <w:sz w:val="24"/>
        </w:rPr>
        <w:t>在</w:t>
      </w:r>
      <w:r>
        <w:rPr>
          <w:rFonts w:ascii="楷体" w:eastAsia="楷体" w:hAnsi="楷体" w:cs="楷体" w:hint="eastAsia"/>
          <w:sz w:val="24"/>
        </w:rPr>
        <w:t>江苏省南京市江宁滨江经济开发区景明大街</w:t>
      </w:r>
      <w:r>
        <w:rPr>
          <w:rFonts w:ascii="楷体" w:eastAsia="楷体" w:hAnsi="楷体" w:cs="楷体" w:hint="eastAsia"/>
          <w:sz w:val="24"/>
        </w:rPr>
        <w:t>15</w:t>
      </w:r>
      <w:r>
        <w:rPr>
          <w:rFonts w:ascii="楷体" w:eastAsia="楷体" w:hAnsi="楷体" w:cs="楷体" w:hint="eastAsia"/>
          <w:sz w:val="24"/>
        </w:rPr>
        <w:t>号南京宝色股份公司办公楼</w:t>
      </w:r>
      <w:r>
        <w:rPr>
          <w:rFonts w:ascii="楷体" w:eastAsia="楷体" w:hAnsi="楷体" w:cs="楷体" w:hint="eastAsia"/>
          <w:sz w:val="24"/>
        </w:rPr>
        <w:t>503</w:t>
      </w:r>
      <w:r>
        <w:rPr>
          <w:rFonts w:ascii="楷体" w:eastAsia="楷体" w:hAnsi="楷体" w:cs="楷体" w:hint="eastAsia"/>
          <w:sz w:val="24"/>
        </w:rPr>
        <w:t>会议室</w:t>
      </w:r>
      <w:r>
        <w:rPr>
          <w:rFonts w:ascii="楷体" w:eastAsia="楷体" w:hAnsi="楷体" w:cs="楷体" w:hint="eastAsia"/>
          <w:sz w:val="24"/>
        </w:rPr>
        <w:t>召开，</w:t>
      </w:r>
      <w:r>
        <w:rPr>
          <w:rFonts w:ascii="楷体" w:eastAsia="楷体" w:hAnsi="楷体" w:cs="楷体" w:hint="eastAsia"/>
          <w:sz w:val="24"/>
        </w:rPr>
        <w:t>本次股东大会由公司董事</w:t>
      </w:r>
      <w:r>
        <w:rPr>
          <w:rFonts w:ascii="楷体" w:eastAsia="楷体" w:hAnsi="楷体" w:cs="楷体" w:hint="eastAsia"/>
          <w:sz w:val="24"/>
        </w:rPr>
        <w:t>长薛凯</w:t>
      </w:r>
      <w:r>
        <w:rPr>
          <w:rFonts w:ascii="楷体" w:eastAsia="楷体" w:hAnsi="楷体" w:cs="楷体" w:hint="eastAsia"/>
          <w:sz w:val="24"/>
        </w:rPr>
        <w:t>主持。公司通过深圳证券交易所股东大会网络投票系统向股东提供网络形式的投票平台</w:t>
      </w:r>
      <w:r>
        <w:rPr>
          <w:rFonts w:ascii="楷体" w:eastAsia="楷体" w:hAnsi="楷体" w:cs="楷体" w:hint="eastAsia"/>
          <w:sz w:val="24"/>
        </w:rPr>
        <w:t>，</w:t>
      </w:r>
      <w:r>
        <w:rPr>
          <w:rFonts w:ascii="楷体" w:eastAsia="楷体" w:hAnsi="楷体" w:cs="楷体" w:hint="eastAsia"/>
          <w:sz w:val="24"/>
        </w:rPr>
        <w:t>网络投票时间：</w:t>
      </w:r>
      <w:r>
        <w:rPr>
          <w:rFonts w:ascii="楷体" w:eastAsia="楷体" w:hAnsi="楷体" w:cs="楷体" w:hint="eastAsia"/>
          <w:sz w:val="24"/>
        </w:rPr>
        <w:t>通过</w:t>
      </w:r>
      <w:r>
        <w:rPr>
          <w:rFonts w:ascii="楷体" w:eastAsia="楷体" w:hAnsi="楷体" w:cs="楷体" w:hint="eastAsia"/>
          <w:sz w:val="24"/>
        </w:rPr>
        <w:t>深圳证券交易所交易系统</w:t>
      </w:r>
      <w:r>
        <w:rPr>
          <w:rFonts w:ascii="楷体" w:eastAsia="楷体" w:hAnsi="楷体" w:cs="楷体" w:hint="eastAsia"/>
          <w:sz w:val="24"/>
        </w:rPr>
        <w:t>进行网络投票的时间为</w:t>
      </w:r>
      <w:r>
        <w:rPr>
          <w:rFonts w:ascii="楷体" w:eastAsia="楷体" w:hAnsi="楷体" w:cs="楷体" w:hint="eastAsia"/>
          <w:sz w:val="24"/>
        </w:rPr>
        <w:t>202</w:t>
      </w:r>
      <w:r>
        <w:rPr>
          <w:rFonts w:ascii="楷体" w:eastAsia="楷体" w:hAnsi="楷体" w:cs="楷体" w:hint="eastAsia"/>
          <w:sz w:val="24"/>
        </w:rPr>
        <w:t>5</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日上午</w:t>
      </w:r>
      <w:r>
        <w:rPr>
          <w:rFonts w:ascii="楷体" w:eastAsia="楷体" w:hAnsi="楷体" w:cs="楷体" w:hint="eastAsia"/>
          <w:sz w:val="24"/>
        </w:rPr>
        <w:t>9:15</w:t>
      </w:r>
      <w:r>
        <w:rPr>
          <w:rFonts w:ascii="楷体" w:eastAsia="楷体" w:hAnsi="楷体" w:cs="楷体" w:hint="eastAsia"/>
          <w:sz w:val="24"/>
        </w:rPr>
        <w:t>至</w:t>
      </w:r>
      <w:r>
        <w:rPr>
          <w:rFonts w:ascii="楷体" w:eastAsia="楷体" w:hAnsi="楷体" w:cs="楷体" w:hint="eastAsia"/>
          <w:sz w:val="24"/>
        </w:rPr>
        <w:t>9:25</w:t>
      </w:r>
      <w:r>
        <w:rPr>
          <w:rFonts w:ascii="楷体" w:eastAsia="楷体" w:hAnsi="楷体" w:cs="楷体" w:hint="eastAsia"/>
          <w:sz w:val="24"/>
        </w:rPr>
        <w:t>、</w:t>
      </w:r>
      <w:r>
        <w:rPr>
          <w:rFonts w:ascii="楷体" w:eastAsia="楷体" w:hAnsi="楷体" w:cs="楷体" w:hint="eastAsia"/>
          <w:sz w:val="24"/>
        </w:rPr>
        <w:t>9:30</w:t>
      </w:r>
      <w:r>
        <w:rPr>
          <w:rFonts w:ascii="楷体" w:eastAsia="楷体" w:hAnsi="楷体" w:cs="楷体" w:hint="eastAsia"/>
          <w:sz w:val="24"/>
        </w:rPr>
        <w:t>至</w:t>
      </w:r>
      <w:r>
        <w:rPr>
          <w:rFonts w:ascii="楷体" w:eastAsia="楷体" w:hAnsi="楷体" w:cs="楷体" w:hint="eastAsia"/>
          <w:sz w:val="24"/>
        </w:rPr>
        <w:t>11:30</w:t>
      </w:r>
      <w:r>
        <w:rPr>
          <w:rFonts w:ascii="楷体" w:eastAsia="楷体" w:hAnsi="楷体" w:cs="楷体" w:hint="eastAsia"/>
          <w:sz w:val="24"/>
        </w:rPr>
        <w:t>，下午</w:t>
      </w:r>
      <w:r>
        <w:rPr>
          <w:rFonts w:ascii="楷体" w:eastAsia="楷体" w:hAnsi="楷体" w:cs="楷体" w:hint="eastAsia"/>
          <w:sz w:val="24"/>
        </w:rPr>
        <w:t>13:00</w:t>
      </w:r>
      <w:r>
        <w:rPr>
          <w:rFonts w:ascii="楷体" w:eastAsia="楷体" w:hAnsi="楷体" w:cs="楷体" w:hint="eastAsia"/>
          <w:sz w:val="24"/>
        </w:rPr>
        <w:t>至</w:t>
      </w:r>
      <w:r>
        <w:rPr>
          <w:rFonts w:ascii="楷体" w:eastAsia="楷体" w:hAnsi="楷体" w:cs="楷体" w:hint="eastAsia"/>
          <w:sz w:val="24"/>
        </w:rPr>
        <w:t>15:00</w:t>
      </w:r>
      <w:r>
        <w:rPr>
          <w:rFonts w:ascii="楷体" w:eastAsia="楷体" w:hAnsi="楷体" w:cs="楷体" w:hint="eastAsia"/>
          <w:sz w:val="24"/>
        </w:rPr>
        <w:t>；通过深圳证券交易所互联网投票系统进行投票的时间为</w:t>
      </w:r>
      <w:r>
        <w:rPr>
          <w:rFonts w:ascii="楷体" w:eastAsia="楷体" w:hAnsi="楷体" w:cs="楷体" w:hint="eastAsia"/>
          <w:sz w:val="24"/>
        </w:rPr>
        <w:t>202</w:t>
      </w:r>
      <w:r>
        <w:rPr>
          <w:rFonts w:ascii="楷体" w:eastAsia="楷体" w:hAnsi="楷体" w:cs="楷体" w:hint="eastAsia"/>
          <w:sz w:val="24"/>
        </w:rPr>
        <w:t>5</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日上午</w:t>
      </w:r>
      <w:r>
        <w:rPr>
          <w:rFonts w:ascii="楷体" w:eastAsia="楷体" w:hAnsi="楷体" w:cs="楷体" w:hint="eastAsia"/>
          <w:sz w:val="24"/>
        </w:rPr>
        <w:t>9:15</w:t>
      </w:r>
      <w:r>
        <w:rPr>
          <w:rFonts w:ascii="楷体" w:eastAsia="楷体" w:hAnsi="楷体" w:cs="楷体" w:hint="eastAsia"/>
          <w:sz w:val="24"/>
        </w:rPr>
        <w:t>至下午</w:t>
      </w:r>
      <w:r>
        <w:rPr>
          <w:rFonts w:ascii="楷体" w:eastAsia="楷体" w:hAnsi="楷体" w:cs="楷体" w:hint="eastAsia"/>
          <w:sz w:val="24"/>
        </w:rPr>
        <w:t>15:00</w:t>
      </w:r>
      <w:r>
        <w:rPr>
          <w:rFonts w:ascii="楷体" w:eastAsia="楷体" w:hAnsi="楷体" w:cs="楷体" w:hint="eastAsia"/>
          <w:sz w:val="24"/>
        </w:rPr>
        <w:t>期间的任意时间。本次股东大会的召开时间、地点、投票方式与公告一致。</w:t>
      </w:r>
    </w:p>
    <w:p w:rsidR="0072379F" w:rsidRDefault="00D11E3C">
      <w:pPr>
        <w:spacing w:afterLines="50" w:after="156" w:line="360" w:lineRule="auto"/>
        <w:ind w:firstLineChars="200" w:firstLine="480"/>
        <w:rPr>
          <w:rFonts w:ascii="楷体" w:eastAsia="楷体" w:hAnsi="楷体" w:cs="楷体"/>
          <w:color w:val="FF0000"/>
          <w:sz w:val="24"/>
        </w:rPr>
      </w:pPr>
      <w:r>
        <w:rPr>
          <w:rFonts w:ascii="楷体" w:eastAsia="楷体" w:hAnsi="楷体" w:cs="楷体" w:hint="eastAsia"/>
          <w:sz w:val="24"/>
        </w:rPr>
        <w:t>经本所律师核查，本次股东大会的召集、召开程序符合相关法律、行政法规、《规则》及公司现行《公司章程》的规定。</w:t>
      </w:r>
    </w:p>
    <w:p w:rsidR="0072379F" w:rsidRDefault="00D11E3C">
      <w:pPr>
        <w:spacing w:beforeLines="50" w:before="156" w:afterLines="50" w:after="156" w:line="360" w:lineRule="auto"/>
        <w:ind w:firstLineChars="200" w:firstLine="482"/>
        <w:outlineLvl w:val="0"/>
        <w:rPr>
          <w:rFonts w:ascii="楷体" w:eastAsia="楷体" w:hAnsi="楷体" w:cs="楷体"/>
          <w:b/>
          <w:bCs/>
          <w:sz w:val="24"/>
        </w:rPr>
      </w:pPr>
      <w:r>
        <w:rPr>
          <w:rFonts w:ascii="楷体" w:eastAsia="楷体" w:hAnsi="楷体" w:cs="楷体" w:hint="eastAsia"/>
          <w:b/>
          <w:bCs/>
          <w:sz w:val="24"/>
        </w:rPr>
        <w:t>二、关于召集人资格及出席本次股东大会人员的资格</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关于召集人</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本次股东大会由公司董事会召集。</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出席本次股东大会的股东</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根据《股东大会通知》，截至股权登记日</w:t>
      </w:r>
      <w:r>
        <w:rPr>
          <w:rFonts w:ascii="楷体" w:eastAsia="楷体" w:hAnsi="楷体" w:cs="楷体" w:hint="eastAsia"/>
          <w:sz w:val="24"/>
        </w:rPr>
        <w:t>2025</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16</w:t>
      </w:r>
      <w:r>
        <w:rPr>
          <w:rFonts w:ascii="楷体" w:eastAsia="楷体" w:hAnsi="楷体" w:cs="楷体" w:hint="eastAsia"/>
          <w:sz w:val="24"/>
        </w:rPr>
        <w:t>日</w:t>
      </w:r>
      <w:r>
        <w:rPr>
          <w:rFonts w:ascii="楷体" w:eastAsia="楷体" w:hAnsi="楷体" w:cs="楷体" w:hint="eastAsia"/>
          <w:sz w:val="24"/>
        </w:rPr>
        <w:t>15:00</w:t>
      </w:r>
      <w:r>
        <w:rPr>
          <w:rFonts w:ascii="楷体" w:eastAsia="楷体" w:hAnsi="楷体" w:cs="楷体" w:hint="eastAsia"/>
          <w:sz w:val="24"/>
        </w:rPr>
        <w:t>深圳证券交易所交易结束后在中国证券登记结算有限责任公司深圳分公司登记在册的全体股东均有权出席本次股东大会，并可以委托代理人出席会议和参加表决。</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出席本次股东大会现场会议的股东及委托代理人共</w:t>
      </w:r>
      <w:r>
        <w:rPr>
          <w:rFonts w:ascii="楷体" w:eastAsia="楷体" w:hAnsi="楷体" w:cs="楷体" w:hint="eastAsia"/>
          <w:sz w:val="24"/>
        </w:rPr>
        <w:t>2</w:t>
      </w:r>
      <w:r>
        <w:rPr>
          <w:rFonts w:ascii="楷体" w:eastAsia="楷体" w:hAnsi="楷体" w:cs="楷体" w:hint="eastAsia"/>
          <w:sz w:val="24"/>
        </w:rPr>
        <w:t>人，代表公司股份</w:t>
      </w:r>
      <w:r>
        <w:rPr>
          <w:rFonts w:ascii="楷体" w:eastAsia="楷体" w:hAnsi="楷体" w:cs="楷体" w:hint="eastAsia"/>
          <w:sz w:val="24"/>
        </w:rPr>
        <w:t>131,980,000</w:t>
      </w:r>
      <w:r>
        <w:rPr>
          <w:rFonts w:ascii="楷体" w:eastAsia="楷体" w:hAnsi="楷体" w:cs="楷体" w:hint="eastAsia"/>
          <w:sz w:val="24"/>
        </w:rPr>
        <w:t>股，占公司股份总数</w:t>
      </w:r>
      <w:r>
        <w:rPr>
          <w:rFonts w:ascii="楷体" w:eastAsia="楷体" w:hAnsi="楷体" w:cs="楷体" w:hint="eastAsia"/>
          <w:sz w:val="24"/>
        </w:rPr>
        <w:t>的</w:t>
      </w:r>
      <w:r>
        <w:rPr>
          <w:rFonts w:ascii="楷体" w:eastAsia="楷体" w:hAnsi="楷体" w:cs="楷体" w:hint="eastAsia"/>
          <w:sz w:val="24"/>
        </w:rPr>
        <w:t>53.4786</w:t>
      </w:r>
      <w:r>
        <w:rPr>
          <w:rFonts w:ascii="楷体" w:eastAsia="楷体" w:hAnsi="楷体" w:cs="楷体" w:hint="eastAsia"/>
          <w:sz w:val="24"/>
        </w:rPr>
        <w:t>%</w:t>
      </w:r>
      <w:r>
        <w:rPr>
          <w:rFonts w:ascii="楷体" w:eastAsia="楷体" w:hAnsi="楷体" w:cs="楷体" w:hint="eastAsia"/>
          <w:sz w:val="24"/>
        </w:rPr>
        <w:t>，</w:t>
      </w:r>
      <w:r>
        <w:rPr>
          <w:rFonts w:ascii="楷体" w:eastAsia="楷体" w:hAnsi="楷体" w:cs="楷体" w:hint="eastAsia"/>
          <w:sz w:val="24"/>
        </w:rPr>
        <w:t>均为股权登记日在册股东。</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本次股东大会通过网络系统进行表决的股东共</w:t>
      </w:r>
      <w:r>
        <w:rPr>
          <w:rFonts w:ascii="楷体" w:eastAsia="楷体" w:hAnsi="楷体" w:cs="楷体" w:hint="eastAsia"/>
          <w:sz w:val="24"/>
        </w:rPr>
        <w:t>121</w:t>
      </w:r>
      <w:r>
        <w:rPr>
          <w:rFonts w:ascii="楷体" w:eastAsia="楷体" w:hAnsi="楷体" w:cs="楷体" w:hint="eastAsia"/>
          <w:sz w:val="24"/>
        </w:rPr>
        <w:t>人，代表公司股份</w:t>
      </w:r>
      <w:r>
        <w:rPr>
          <w:rFonts w:ascii="楷体" w:eastAsia="楷体" w:hAnsi="楷体" w:cs="楷体" w:hint="eastAsia"/>
          <w:sz w:val="24"/>
        </w:rPr>
        <w:t>876,500</w:t>
      </w:r>
      <w:r>
        <w:rPr>
          <w:rFonts w:ascii="楷体" w:eastAsia="楷体" w:hAnsi="楷体" w:cs="楷体" w:hint="eastAsia"/>
          <w:sz w:val="24"/>
        </w:rPr>
        <w:t>股，占公司股份总数的</w:t>
      </w:r>
      <w:r>
        <w:rPr>
          <w:rFonts w:ascii="楷体" w:eastAsia="楷体" w:hAnsi="楷体" w:cs="楷体" w:hint="eastAsia"/>
          <w:sz w:val="24"/>
        </w:rPr>
        <w:t>0.3552</w:t>
      </w:r>
      <w:r>
        <w:rPr>
          <w:rFonts w:ascii="楷体" w:eastAsia="楷体" w:hAnsi="楷体" w:cs="楷体" w:hint="eastAsia"/>
          <w:sz w:val="24"/>
        </w:rPr>
        <w:t>%</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出席</w:t>
      </w:r>
      <w:r>
        <w:rPr>
          <w:rFonts w:ascii="楷体" w:eastAsia="楷体" w:hAnsi="楷体" w:cs="楷体" w:hint="eastAsia"/>
          <w:sz w:val="24"/>
        </w:rPr>
        <w:t>本次股东大会现场</w:t>
      </w:r>
      <w:r>
        <w:rPr>
          <w:rFonts w:ascii="楷体" w:eastAsia="楷体" w:hAnsi="楷体" w:cs="楷体" w:hint="eastAsia"/>
          <w:sz w:val="24"/>
        </w:rPr>
        <w:t>会议</w:t>
      </w:r>
      <w:r>
        <w:rPr>
          <w:rFonts w:ascii="楷体" w:eastAsia="楷体" w:hAnsi="楷体" w:cs="楷体" w:hint="eastAsia"/>
          <w:sz w:val="24"/>
        </w:rPr>
        <w:t>和网络表决的股东、委托代理人共计</w:t>
      </w:r>
      <w:r>
        <w:rPr>
          <w:rFonts w:ascii="楷体" w:eastAsia="楷体" w:hAnsi="楷体" w:cs="楷体" w:hint="eastAsia"/>
          <w:sz w:val="24"/>
        </w:rPr>
        <w:t>123</w:t>
      </w:r>
      <w:r>
        <w:rPr>
          <w:rFonts w:ascii="楷体" w:eastAsia="楷体" w:hAnsi="楷体" w:cs="楷体" w:hint="eastAsia"/>
          <w:sz w:val="24"/>
        </w:rPr>
        <w:t>人，代表公司股份</w:t>
      </w:r>
      <w:r>
        <w:rPr>
          <w:rFonts w:ascii="楷体" w:eastAsia="楷体" w:hAnsi="楷体" w:cs="楷体" w:hint="eastAsia"/>
          <w:sz w:val="24"/>
        </w:rPr>
        <w:t>132,856,500</w:t>
      </w:r>
      <w:r>
        <w:rPr>
          <w:rFonts w:ascii="楷体" w:eastAsia="楷体" w:hAnsi="楷体" w:cs="楷体" w:hint="eastAsia"/>
          <w:sz w:val="24"/>
        </w:rPr>
        <w:t>‬股，占公司股份总数的</w:t>
      </w:r>
      <w:r>
        <w:rPr>
          <w:rFonts w:ascii="楷体" w:eastAsia="楷体" w:hAnsi="楷体" w:cs="楷体" w:hint="eastAsia"/>
          <w:sz w:val="24"/>
        </w:rPr>
        <w:t>53.8337</w:t>
      </w:r>
      <w:r>
        <w:rPr>
          <w:rFonts w:ascii="楷体" w:eastAsia="楷体" w:hAnsi="楷体" w:cs="楷体" w:hint="eastAsia"/>
          <w:sz w:val="24"/>
        </w:rPr>
        <w:t>%</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sz w:val="24"/>
        </w:rPr>
        <w:t>3</w:t>
      </w:r>
      <w:r>
        <w:rPr>
          <w:rFonts w:ascii="楷体" w:eastAsia="楷体" w:hAnsi="楷体" w:cs="楷体" w:hint="eastAsia"/>
          <w:sz w:val="24"/>
        </w:rPr>
        <w:t>.</w:t>
      </w:r>
      <w:r>
        <w:rPr>
          <w:rFonts w:ascii="楷体" w:eastAsia="楷体" w:hAnsi="楷体" w:cs="楷体" w:hint="eastAsia"/>
          <w:sz w:val="24"/>
        </w:rPr>
        <w:t>出席、列席本次股东大会的人员</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除上述股东及委托代理人外，公司董事、监事和董事会秘书</w:t>
      </w:r>
      <w:r>
        <w:rPr>
          <w:rFonts w:ascii="楷体" w:eastAsia="楷体" w:hAnsi="楷体" w:cs="楷体" w:hint="eastAsia"/>
          <w:sz w:val="24"/>
        </w:rPr>
        <w:t>通过</w:t>
      </w:r>
      <w:r>
        <w:rPr>
          <w:rFonts w:ascii="楷体" w:eastAsia="楷体" w:hAnsi="楷体" w:cs="楷体" w:hint="eastAsia"/>
          <w:sz w:val="24"/>
        </w:rPr>
        <w:t>现场</w:t>
      </w:r>
      <w:r>
        <w:rPr>
          <w:rFonts w:ascii="楷体" w:eastAsia="楷体" w:hAnsi="楷体" w:cs="楷体" w:hint="eastAsia"/>
          <w:sz w:val="24"/>
        </w:rPr>
        <w:t>或通讯方式</w:t>
      </w:r>
      <w:r>
        <w:rPr>
          <w:rFonts w:ascii="楷体" w:eastAsia="楷体" w:hAnsi="楷体" w:cs="楷体" w:hint="eastAsia"/>
          <w:sz w:val="24"/>
        </w:rPr>
        <w:t>出席了本次股东大会，公司其他高级管理人员、本所指派的律师现场列席了本次股东大会。</w:t>
      </w:r>
    </w:p>
    <w:p w:rsidR="0072379F" w:rsidRDefault="00D11E3C">
      <w:pPr>
        <w:spacing w:afterLines="50" w:after="156" w:line="360" w:lineRule="auto"/>
        <w:ind w:firstLineChars="200" w:firstLine="480"/>
        <w:rPr>
          <w:rFonts w:ascii="楷体" w:eastAsia="楷体" w:hAnsi="楷体" w:cs="楷体"/>
          <w:color w:val="FF0000"/>
          <w:sz w:val="24"/>
        </w:rPr>
      </w:pPr>
      <w:r>
        <w:rPr>
          <w:rFonts w:ascii="楷体" w:eastAsia="楷体" w:hAnsi="楷体" w:cs="楷体" w:hint="eastAsia"/>
          <w:sz w:val="24"/>
        </w:rPr>
        <w:t>本所律师经核查后认为，本次股东大会召集人及出席本次股东大会人员的资格符</w:t>
      </w:r>
      <w:r>
        <w:rPr>
          <w:rFonts w:ascii="楷体" w:eastAsia="楷体" w:hAnsi="楷体" w:cs="楷体" w:hint="eastAsia"/>
          <w:sz w:val="24"/>
        </w:rPr>
        <w:t>合相关法律、行政法规、《规则》及现行《公司章程》的规定，合法、有效。</w:t>
      </w:r>
    </w:p>
    <w:p w:rsidR="0072379F" w:rsidRDefault="00D11E3C">
      <w:pPr>
        <w:spacing w:beforeLines="50" w:before="156" w:afterLines="50" w:after="156" w:line="360" w:lineRule="auto"/>
        <w:ind w:firstLineChars="200" w:firstLine="482"/>
        <w:outlineLvl w:val="0"/>
        <w:rPr>
          <w:rFonts w:ascii="楷体" w:eastAsia="楷体" w:hAnsi="楷体" w:cs="楷体"/>
          <w:b/>
          <w:bCs/>
          <w:sz w:val="24"/>
        </w:rPr>
      </w:pPr>
      <w:r>
        <w:rPr>
          <w:rFonts w:ascii="楷体" w:eastAsia="楷体" w:hAnsi="楷体" w:cs="楷体" w:hint="eastAsia"/>
          <w:b/>
          <w:bCs/>
          <w:sz w:val="24"/>
        </w:rPr>
        <w:t>三、关于本次股东大会的表决程序和表决结果</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（一）表决程序</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次会议审议及表决的事项与公司《股东大会通知》中列明的议案一致，本次股东大会没有收到临时议案或新的提案。公司本次股东大会采取现场投票和网络投票相结合的表决方式就《股东大会通知》中列明的提交本次股东大会审议的事项进行了投票表决，并按照《公司章程》的规定，由股东代表、监事代表及本所律师进行计票、监票，并按规定的程序将现场投票和网络投票的表决进行合计统计。本次股东大会审议的议案属于涉及影</w:t>
      </w:r>
      <w:r>
        <w:rPr>
          <w:rFonts w:ascii="楷体" w:eastAsia="楷体" w:hAnsi="楷体" w:cs="楷体" w:hint="eastAsia"/>
          <w:sz w:val="24"/>
        </w:rPr>
        <w:t>响中小投资者利益的事项，公司对现场及参加网络投票的中小投资者单独计票。</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（二）表决结果</w:t>
      </w:r>
    </w:p>
    <w:p w:rsidR="0072379F" w:rsidRDefault="00D11E3C">
      <w:pPr>
        <w:numPr>
          <w:ilvl w:val="255"/>
          <w:numId w:val="0"/>
        </w:num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本次会议依照《公司章程》所规定的表决程序，表决了以下议案：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《关于公司</w:t>
      </w:r>
      <w:r>
        <w:rPr>
          <w:rFonts w:ascii="楷体" w:eastAsia="楷体" w:hAnsi="楷体" w:cs="楷体" w:hint="eastAsia"/>
          <w:sz w:val="24"/>
        </w:rPr>
        <w:t>2024</w:t>
      </w:r>
      <w:r>
        <w:rPr>
          <w:rFonts w:ascii="楷体" w:eastAsia="楷体" w:hAnsi="楷体" w:cs="楷体" w:hint="eastAsia"/>
          <w:sz w:val="24"/>
        </w:rPr>
        <w:t>年度董事会工作报告的议案》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132,512,400</w:t>
      </w:r>
      <w:r>
        <w:rPr>
          <w:rFonts w:ascii="楷体" w:eastAsia="楷体" w:hAnsi="楷体" w:cs="楷体"/>
          <w:sz w:val="24"/>
        </w:rPr>
        <w:t>股</w:t>
      </w:r>
      <w:r>
        <w:rPr>
          <w:rFonts w:ascii="楷体" w:eastAsia="楷体" w:hAnsi="楷体" w:cs="楷体" w:hint="eastAsia"/>
          <w:sz w:val="24"/>
        </w:rPr>
        <w:t>，占出席会议股东及委托代理人所持股份的</w:t>
      </w:r>
      <w:r>
        <w:rPr>
          <w:rFonts w:ascii="楷体" w:eastAsia="楷体" w:hAnsi="楷体" w:cs="楷体" w:hint="eastAsia"/>
          <w:sz w:val="24"/>
        </w:rPr>
        <w:t>99.7410</w:t>
      </w:r>
      <w:r>
        <w:rPr>
          <w:rFonts w:ascii="楷体" w:eastAsia="楷体" w:hAnsi="楷体" w:cs="楷体" w:hint="eastAsia"/>
          <w:sz w:val="24"/>
        </w:rPr>
        <w:t>%</w:t>
      </w:r>
      <w:r>
        <w:rPr>
          <w:rFonts w:ascii="楷体" w:eastAsia="楷体" w:hAnsi="楷体" w:cs="楷体" w:hint="eastAsia"/>
          <w:sz w:val="24"/>
        </w:rPr>
        <w:t>；反对</w:t>
      </w:r>
      <w:r>
        <w:rPr>
          <w:rFonts w:ascii="楷体" w:eastAsia="楷体" w:hAnsi="楷体" w:cs="楷体" w:hint="eastAsia"/>
          <w:sz w:val="24"/>
        </w:rPr>
        <w:t>303,500</w:t>
      </w:r>
      <w:r>
        <w:rPr>
          <w:rFonts w:ascii="楷体" w:eastAsia="楷体" w:hAnsi="楷体" w:cs="楷体"/>
          <w:sz w:val="24"/>
        </w:rPr>
        <w:t>股</w:t>
      </w:r>
      <w:r>
        <w:rPr>
          <w:rFonts w:ascii="楷体" w:eastAsia="楷体" w:hAnsi="楷体" w:cs="楷体" w:hint="eastAsia"/>
          <w:sz w:val="24"/>
        </w:rPr>
        <w:t>，占出席会议股东及委托代理人所持股份的</w:t>
      </w:r>
      <w:r>
        <w:rPr>
          <w:rFonts w:ascii="楷体" w:eastAsia="楷体" w:hAnsi="楷体" w:cs="楷体" w:hint="eastAsia"/>
          <w:sz w:val="24"/>
        </w:rPr>
        <w:t>0.2284</w:t>
      </w:r>
      <w:r>
        <w:rPr>
          <w:rFonts w:ascii="楷体" w:eastAsia="楷体" w:hAnsi="楷体" w:cs="楷体" w:hint="eastAsia"/>
          <w:sz w:val="24"/>
        </w:rPr>
        <w:t>%</w:t>
      </w:r>
      <w:r>
        <w:rPr>
          <w:rFonts w:ascii="楷体" w:eastAsia="楷体" w:hAnsi="楷体" w:cs="楷体" w:hint="eastAsia"/>
          <w:sz w:val="24"/>
        </w:rPr>
        <w:t>；弃权</w:t>
      </w:r>
      <w:r>
        <w:rPr>
          <w:rFonts w:ascii="楷体" w:eastAsia="楷体" w:hAnsi="楷体" w:cs="楷体" w:hint="eastAsia"/>
          <w:sz w:val="24"/>
        </w:rPr>
        <w:t>40,600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股），占出席会议股东及委托代理人所持股份的</w:t>
      </w:r>
      <w:r>
        <w:rPr>
          <w:rFonts w:ascii="楷体" w:eastAsia="楷体" w:hAnsi="楷体" w:cs="楷体" w:hint="eastAsia"/>
          <w:sz w:val="24"/>
        </w:rPr>
        <w:t>0.0306</w:t>
      </w:r>
      <w:r>
        <w:rPr>
          <w:rFonts w:ascii="楷体" w:eastAsia="楷体" w:hAnsi="楷体" w:cs="楷体" w:hint="eastAsia"/>
          <w:sz w:val="24"/>
        </w:rPr>
        <w:t>%</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532,400</w:t>
      </w:r>
      <w:r>
        <w:rPr>
          <w:rFonts w:ascii="楷体" w:eastAsia="楷体" w:hAnsi="楷体" w:cs="楷体"/>
          <w:sz w:val="24"/>
        </w:rPr>
        <w:t>股</w:t>
      </w:r>
      <w:r>
        <w:rPr>
          <w:rFonts w:ascii="楷体" w:eastAsia="楷体" w:hAnsi="楷体" w:cs="楷体" w:hint="eastAsia"/>
          <w:sz w:val="24"/>
        </w:rPr>
        <w:t>，占出席会议中小股东所持股份的</w:t>
      </w:r>
      <w:r>
        <w:rPr>
          <w:rFonts w:ascii="楷体" w:eastAsia="楷体" w:hAnsi="楷体" w:cs="楷体" w:hint="eastAsia"/>
          <w:sz w:val="24"/>
        </w:rPr>
        <w:t>60.7416</w:t>
      </w:r>
      <w:r>
        <w:rPr>
          <w:rFonts w:ascii="楷体" w:eastAsia="楷体" w:hAnsi="楷体" w:cs="楷体" w:hint="eastAsia"/>
          <w:color w:val="000000"/>
          <w:kern w:val="0"/>
          <w:sz w:val="24"/>
          <w:szCs w:val="24"/>
        </w:rPr>
        <w:t>%</w:t>
      </w:r>
      <w:r>
        <w:rPr>
          <w:rFonts w:ascii="楷体" w:eastAsia="楷体" w:hAnsi="楷体" w:cs="楷体" w:hint="eastAsia"/>
          <w:sz w:val="24"/>
        </w:rPr>
        <w:t>；反对</w:t>
      </w:r>
      <w:r>
        <w:rPr>
          <w:rFonts w:ascii="楷体" w:eastAsia="楷体" w:hAnsi="楷体" w:cs="楷体" w:hint="eastAsia"/>
          <w:sz w:val="24"/>
        </w:rPr>
        <w:t>303,500</w:t>
      </w:r>
      <w:r>
        <w:rPr>
          <w:rFonts w:ascii="楷体" w:eastAsia="楷体" w:hAnsi="楷体" w:cs="楷体" w:hint="eastAsia"/>
          <w:sz w:val="24"/>
        </w:rPr>
        <w:t>股，占出席会议中小股东所持股份的</w:t>
      </w:r>
      <w:r>
        <w:rPr>
          <w:rFonts w:ascii="楷体" w:eastAsia="楷体" w:hAnsi="楷体" w:cs="楷体" w:hint="eastAsia"/>
          <w:sz w:val="24"/>
        </w:rPr>
        <w:t>34.6264%</w:t>
      </w:r>
      <w:r>
        <w:rPr>
          <w:rFonts w:ascii="楷体" w:eastAsia="楷体" w:hAnsi="楷体" w:cs="楷体" w:hint="eastAsia"/>
          <w:sz w:val="24"/>
        </w:rPr>
        <w:t>；弃权</w:t>
      </w:r>
      <w:r>
        <w:rPr>
          <w:rFonts w:ascii="楷体" w:eastAsia="楷体" w:hAnsi="楷体" w:cs="楷体" w:hint="eastAsia"/>
          <w:sz w:val="24"/>
        </w:rPr>
        <w:t>40,600</w:t>
      </w:r>
      <w:r>
        <w:rPr>
          <w:rFonts w:ascii="楷体" w:eastAsia="楷体" w:hAnsi="楷体" w:cs="楷体" w:hint="eastAsia"/>
          <w:sz w:val="24"/>
        </w:rPr>
        <w:t>股</w:t>
      </w:r>
      <w:r>
        <w:rPr>
          <w:rFonts w:ascii="楷体" w:eastAsia="楷体" w:hAnsi="楷体" w:cs="楷体" w:hint="eastAsia"/>
          <w:sz w:val="24"/>
        </w:rPr>
        <w:t>（</w:t>
      </w:r>
      <w:r>
        <w:rPr>
          <w:rFonts w:ascii="楷体" w:eastAsia="楷体" w:hAnsi="楷体" w:cs="楷体" w:hint="eastAsia"/>
          <w:sz w:val="24"/>
        </w:rPr>
        <w:t>其中，因未投票默认弃权</w:t>
      </w:r>
      <w:r>
        <w:rPr>
          <w:rFonts w:ascii="楷体" w:eastAsia="楷体" w:hAnsi="楷体" w:cs="楷体" w:hint="eastAsia"/>
          <w:sz w:val="24"/>
        </w:rPr>
        <w:t>0</w:t>
      </w:r>
      <w:r>
        <w:rPr>
          <w:rFonts w:ascii="楷体" w:eastAsia="楷体" w:hAnsi="楷体" w:cs="楷体" w:hint="eastAsia"/>
          <w:sz w:val="24"/>
        </w:rPr>
        <w:t>股</w:t>
      </w:r>
      <w:r>
        <w:rPr>
          <w:rFonts w:ascii="楷体" w:eastAsia="楷体" w:hAnsi="楷体" w:cs="楷体" w:hint="eastAsia"/>
          <w:sz w:val="24"/>
        </w:rPr>
        <w:t>）</w:t>
      </w:r>
      <w:r>
        <w:rPr>
          <w:rFonts w:ascii="楷体" w:eastAsia="楷体" w:hAnsi="楷体" w:cs="楷体" w:hint="eastAsia"/>
          <w:sz w:val="24"/>
        </w:rPr>
        <w:t>，占出席会议中小股东所持股份的</w:t>
      </w:r>
      <w:r>
        <w:rPr>
          <w:rFonts w:ascii="楷体" w:eastAsia="楷体" w:hAnsi="楷体" w:cs="楷体" w:hint="eastAsia"/>
          <w:sz w:val="24"/>
        </w:rPr>
        <w:t>4.6321%</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《关于公司</w:t>
      </w:r>
      <w:r>
        <w:rPr>
          <w:rFonts w:ascii="楷体" w:eastAsia="楷体" w:hAnsi="楷体" w:cs="楷体" w:hint="eastAsia"/>
          <w:sz w:val="24"/>
        </w:rPr>
        <w:t>2024</w:t>
      </w:r>
      <w:r>
        <w:rPr>
          <w:rFonts w:ascii="楷体" w:eastAsia="楷体" w:hAnsi="楷体" w:cs="楷体" w:hint="eastAsia"/>
          <w:sz w:val="24"/>
        </w:rPr>
        <w:t>年度监事会工作报告的议案》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132,505,600</w:t>
      </w:r>
      <w:r>
        <w:rPr>
          <w:rFonts w:ascii="楷体" w:eastAsia="楷体" w:hAnsi="楷体" w:cs="楷体" w:hint="eastAsia"/>
          <w:sz w:val="24"/>
        </w:rPr>
        <w:t>股，占出席会议股东及委托代理人所持股份的</w:t>
      </w:r>
      <w:r>
        <w:rPr>
          <w:rFonts w:ascii="楷体" w:eastAsia="楷体" w:hAnsi="楷体" w:cs="楷体" w:hint="eastAsia"/>
          <w:sz w:val="24"/>
        </w:rPr>
        <w:t>99.7359%</w:t>
      </w:r>
      <w:r>
        <w:rPr>
          <w:rFonts w:ascii="楷体" w:eastAsia="楷体" w:hAnsi="楷体" w:cs="楷体" w:hint="eastAsia"/>
          <w:sz w:val="24"/>
        </w:rPr>
        <w:t>；反对</w:t>
      </w:r>
      <w:r>
        <w:rPr>
          <w:rFonts w:ascii="楷体" w:eastAsia="楷体" w:hAnsi="楷体" w:cs="楷体" w:hint="eastAsia"/>
          <w:sz w:val="24"/>
        </w:rPr>
        <w:t>302,500</w:t>
      </w:r>
      <w:r>
        <w:rPr>
          <w:rFonts w:ascii="楷体" w:eastAsia="楷体" w:hAnsi="楷体" w:cs="楷体" w:hint="eastAsia"/>
          <w:sz w:val="24"/>
        </w:rPr>
        <w:t>股，占出席会议股东及委托代理人所持股份的</w:t>
      </w:r>
      <w:r>
        <w:rPr>
          <w:rFonts w:ascii="楷体" w:eastAsia="楷体" w:hAnsi="楷体" w:cs="楷体" w:hint="eastAsia"/>
          <w:sz w:val="24"/>
        </w:rPr>
        <w:t>0.2277%</w:t>
      </w:r>
      <w:r>
        <w:rPr>
          <w:rFonts w:ascii="楷体" w:eastAsia="楷体" w:hAnsi="楷体" w:cs="楷体" w:hint="eastAsia"/>
          <w:sz w:val="24"/>
        </w:rPr>
        <w:t>；弃权</w:t>
      </w:r>
      <w:r>
        <w:rPr>
          <w:rFonts w:ascii="楷体" w:eastAsia="楷体" w:hAnsi="楷体" w:cs="楷体" w:hint="eastAsia"/>
          <w:sz w:val="24"/>
        </w:rPr>
        <w:t>48,400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股），占出席会议股东及委托代理人所持</w:t>
      </w:r>
      <w:r>
        <w:rPr>
          <w:rFonts w:ascii="楷体" w:eastAsia="楷体" w:hAnsi="楷体" w:cs="楷体" w:hint="eastAsia"/>
          <w:sz w:val="24"/>
        </w:rPr>
        <w:t>股份的</w:t>
      </w:r>
      <w:r>
        <w:rPr>
          <w:rFonts w:ascii="楷体" w:eastAsia="楷体" w:hAnsi="楷体" w:cs="楷体" w:hint="eastAsia"/>
          <w:sz w:val="24"/>
        </w:rPr>
        <w:t>0.0364%</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525,600</w:t>
      </w:r>
      <w:r>
        <w:rPr>
          <w:rFonts w:ascii="楷体" w:eastAsia="楷体" w:hAnsi="楷体" w:cs="楷体" w:hint="eastAsia"/>
          <w:sz w:val="24"/>
        </w:rPr>
        <w:t>股，占出席会议中小股东所持股份的</w:t>
      </w:r>
      <w:r>
        <w:rPr>
          <w:rFonts w:ascii="楷体" w:eastAsia="楷体" w:hAnsi="楷体" w:cs="楷体" w:hint="eastAsia"/>
          <w:sz w:val="24"/>
        </w:rPr>
        <w:t>59.9658%</w:t>
      </w:r>
      <w:r>
        <w:rPr>
          <w:rFonts w:ascii="楷体" w:eastAsia="楷体" w:hAnsi="楷体" w:cs="楷体" w:hint="eastAsia"/>
          <w:sz w:val="24"/>
        </w:rPr>
        <w:t>；反对</w:t>
      </w:r>
      <w:r>
        <w:rPr>
          <w:rFonts w:ascii="楷体" w:eastAsia="楷体" w:hAnsi="楷体" w:cs="楷体" w:hint="eastAsia"/>
          <w:sz w:val="24"/>
        </w:rPr>
        <w:t>302,500</w:t>
      </w:r>
      <w:r>
        <w:rPr>
          <w:rFonts w:ascii="楷体" w:eastAsia="楷体" w:hAnsi="楷体" w:cs="楷体" w:hint="eastAsia"/>
          <w:sz w:val="24"/>
        </w:rPr>
        <w:t>股，占出席会议中小股东所持股份的</w:t>
      </w:r>
      <w:r>
        <w:rPr>
          <w:rFonts w:ascii="楷体" w:eastAsia="楷体" w:hAnsi="楷体" w:cs="楷体" w:hint="eastAsia"/>
          <w:sz w:val="24"/>
        </w:rPr>
        <w:t>34.5123%</w:t>
      </w:r>
      <w:r>
        <w:rPr>
          <w:rFonts w:ascii="楷体" w:eastAsia="楷体" w:hAnsi="楷体" w:cs="楷体" w:hint="eastAsia"/>
          <w:sz w:val="24"/>
        </w:rPr>
        <w:t>；弃权</w:t>
      </w:r>
      <w:r>
        <w:rPr>
          <w:rFonts w:ascii="楷体" w:eastAsia="楷体" w:hAnsi="楷体" w:cs="楷体" w:hint="eastAsia"/>
          <w:sz w:val="24"/>
        </w:rPr>
        <w:t>48,400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股），占出席会议中小股东所持股份的</w:t>
      </w:r>
      <w:r>
        <w:rPr>
          <w:rFonts w:ascii="楷体" w:eastAsia="楷体" w:hAnsi="楷体" w:cs="楷体" w:hint="eastAsia"/>
          <w:sz w:val="24"/>
        </w:rPr>
        <w:t>5.5220%</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《关于公司</w:t>
      </w:r>
      <w:r>
        <w:rPr>
          <w:rFonts w:ascii="楷体" w:eastAsia="楷体" w:hAnsi="楷体" w:cs="楷体" w:hint="eastAsia"/>
          <w:sz w:val="24"/>
        </w:rPr>
        <w:t>2024</w:t>
      </w:r>
      <w:r>
        <w:rPr>
          <w:rFonts w:ascii="楷体" w:eastAsia="楷体" w:hAnsi="楷体" w:cs="楷体" w:hint="eastAsia"/>
          <w:sz w:val="24"/>
        </w:rPr>
        <w:t>年年度报告及其摘要的议案》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132,505,700</w:t>
      </w:r>
      <w:r>
        <w:rPr>
          <w:rFonts w:ascii="楷体" w:eastAsia="楷体" w:hAnsi="楷体" w:cs="楷体" w:hint="eastAsia"/>
          <w:sz w:val="24"/>
        </w:rPr>
        <w:t>股，占出席会议股东及委托代理人所持股份的</w:t>
      </w:r>
      <w:r>
        <w:rPr>
          <w:rFonts w:ascii="楷体" w:eastAsia="楷体" w:hAnsi="楷体" w:cs="楷体" w:hint="eastAsia"/>
          <w:sz w:val="24"/>
        </w:rPr>
        <w:t>99.7360%</w:t>
      </w:r>
      <w:r>
        <w:rPr>
          <w:rFonts w:ascii="楷体" w:eastAsia="楷体" w:hAnsi="楷体" w:cs="楷体" w:hint="eastAsia"/>
          <w:sz w:val="24"/>
        </w:rPr>
        <w:t>；反对</w:t>
      </w:r>
      <w:r>
        <w:rPr>
          <w:rFonts w:ascii="楷体" w:eastAsia="楷体" w:hAnsi="楷体" w:cs="楷体" w:hint="eastAsia"/>
          <w:sz w:val="24"/>
        </w:rPr>
        <w:t>301,300</w:t>
      </w:r>
      <w:r>
        <w:rPr>
          <w:rFonts w:ascii="楷体" w:eastAsia="楷体" w:hAnsi="楷体" w:cs="楷体" w:hint="eastAsia"/>
          <w:sz w:val="24"/>
        </w:rPr>
        <w:t>股，占出席会议股东及委托代理人所持股份的</w:t>
      </w:r>
      <w:r>
        <w:rPr>
          <w:rFonts w:ascii="楷体" w:eastAsia="楷体" w:hAnsi="楷体" w:cs="楷体" w:hint="eastAsia"/>
          <w:sz w:val="24"/>
        </w:rPr>
        <w:t>0.2268%</w:t>
      </w:r>
      <w:r>
        <w:rPr>
          <w:rFonts w:ascii="楷体" w:eastAsia="楷体" w:hAnsi="楷体" w:cs="楷体" w:hint="eastAsia"/>
          <w:sz w:val="24"/>
        </w:rPr>
        <w:t>；弃权</w:t>
      </w:r>
      <w:r>
        <w:rPr>
          <w:rFonts w:ascii="楷体" w:eastAsia="楷体" w:hAnsi="楷体" w:cs="楷体" w:hint="eastAsia"/>
          <w:sz w:val="24"/>
        </w:rPr>
        <w:t>49,500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股），占出席会议股东及委托代理人所持股份的</w:t>
      </w:r>
      <w:r>
        <w:rPr>
          <w:rFonts w:ascii="楷体" w:eastAsia="楷体" w:hAnsi="楷体" w:cs="楷体" w:hint="eastAsia"/>
          <w:sz w:val="24"/>
        </w:rPr>
        <w:t>0.0373%</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525,700</w:t>
      </w:r>
      <w:r>
        <w:rPr>
          <w:rFonts w:ascii="楷体" w:eastAsia="楷体" w:hAnsi="楷体" w:cs="楷体" w:hint="eastAsia"/>
          <w:sz w:val="24"/>
        </w:rPr>
        <w:t>股，占出席会议中小股东所持股份的</w:t>
      </w:r>
      <w:r>
        <w:rPr>
          <w:rFonts w:ascii="楷体" w:eastAsia="楷体" w:hAnsi="楷体" w:cs="楷体" w:hint="eastAsia"/>
          <w:sz w:val="24"/>
        </w:rPr>
        <w:t>59.9772%</w:t>
      </w:r>
      <w:r>
        <w:rPr>
          <w:rFonts w:ascii="楷体" w:eastAsia="楷体" w:hAnsi="楷体" w:cs="楷体" w:hint="eastAsia"/>
          <w:sz w:val="24"/>
        </w:rPr>
        <w:t>；反对</w:t>
      </w:r>
      <w:r>
        <w:rPr>
          <w:rFonts w:ascii="楷体" w:eastAsia="楷体" w:hAnsi="楷体" w:cs="楷体" w:hint="eastAsia"/>
          <w:sz w:val="24"/>
        </w:rPr>
        <w:t>301,300</w:t>
      </w:r>
      <w:r>
        <w:rPr>
          <w:rFonts w:ascii="楷体" w:eastAsia="楷体" w:hAnsi="楷体" w:cs="楷体" w:hint="eastAsia"/>
          <w:sz w:val="24"/>
        </w:rPr>
        <w:t>股，占出席会议中小股东所持股份的</w:t>
      </w:r>
      <w:r>
        <w:rPr>
          <w:rFonts w:ascii="楷体" w:eastAsia="楷体" w:hAnsi="楷体" w:cs="楷体" w:hint="eastAsia"/>
          <w:sz w:val="24"/>
        </w:rPr>
        <w:t>34.3754%</w:t>
      </w:r>
      <w:r>
        <w:rPr>
          <w:rFonts w:ascii="楷体" w:eastAsia="楷体" w:hAnsi="楷体" w:cs="楷体" w:hint="eastAsia"/>
          <w:sz w:val="24"/>
        </w:rPr>
        <w:t>；弃权</w:t>
      </w:r>
      <w:r>
        <w:rPr>
          <w:rFonts w:ascii="楷体" w:eastAsia="楷体" w:hAnsi="楷体" w:cs="楷体" w:hint="eastAsia"/>
          <w:sz w:val="24"/>
        </w:rPr>
        <w:t>49,500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股），占出席会议中小股东所持股份的</w:t>
      </w:r>
      <w:r>
        <w:rPr>
          <w:rFonts w:ascii="楷体" w:eastAsia="楷体" w:hAnsi="楷体" w:cs="楷体" w:hint="eastAsia"/>
          <w:sz w:val="24"/>
        </w:rPr>
        <w:t>5.</w:t>
      </w:r>
      <w:r>
        <w:rPr>
          <w:rFonts w:ascii="楷体" w:eastAsia="楷体" w:hAnsi="楷体" w:cs="楷体" w:hint="eastAsia"/>
          <w:sz w:val="24"/>
        </w:rPr>
        <w:t>6475%</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《关于公司</w:t>
      </w:r>
      <w:r>
        <w:rPr>
          <w:rFonts w:ascii="楷体" w:eastAsia="楷体" w:hAnsi="楷体" w:cs="楷体" w:hint="eastAsia"/>
          <w:sz w:val="24"/>
        </w:rPr>
        <w:t>2024</w:t>
      </w:r>
      <w:r>
        <w:rPr>
          <w:rFonts w:ascii="楷体" w:eastAsia="楷体" w:hAnsi="楷体" w:cs="楷体" w:hint="eastAsia"/>
          <w:sz w:val="24"/>
        </w:rPr>
        <w:t>年度财务决算报告的议案》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132,513,400</w:t>
      </w:r>
      <w:r>
        <w:rPr>
          <w:rFonts w:ascii="楷体" w:eastAsia="楷体" w:hAnsi="楷体" w:cs="楷体" w:hint="eastAsia"/>
          <w:sz w:val="24"/>
        </w:rPr>
        <w:t>股，占出席会议股东及委托代理人所持股份的</w:t>
      </w:r>
      <w:r>
        <w:rPr>
          <w:rFonts w:ascii="楷体" w:eastAsia="楷体" w:hAnsi="楷体" w:cs="楷体" w:hint="eastAsia"/>
          <w:sz w:val="24"/>
        </w:rPr>
        <w:t>99.7418%</w:t>
      </w:r>
      <w:r>
        <w:rPr>
          <w:rFonts w:ascii="楷体" w:eastAsia="楷体" w:hAnsi="楷体" w:cs="楷体" w:hint="eastAsia"/>
          <w:sz w:val="24"/>
        </w:rPr>
        <w:t>；反对</w:t>
      </w:r>
      <w:r>
        <w:rPr>
          <w:rFonts w:ascii="楷体" w:eastAsia="楷体" w:hAnsi="楷体" w:cs="楷体" w:hint="eastAsia"/>
          <w:sz w:val="24"/>
        </w:rPr>
        <w:t>302,500</w:t>
      </w:r>
      <w:r>
        <w:rPr>
          <w:rFonts w:ascii="楷体" w:eastAsia="楷体" w:hAnsi="楷体" w:cs="楷体" w:hint="eastAsia"/>
          <w:sz w:val="24"/>
        </w:rPr>
        <w:t>股，占出席会议股东及委托代理人所持股份的</w:t>
      </w:r>
      <w:r>
        <w:rPr>
          <w:rFonts w:ascii="楷体" w:eastAsia="楷体" w:hAnsi="楷体" w:cs="楷体" w:hint="eastAsia"/>
          <w:sz w:val="24"/>
        </w:rPr>
        <w:t>0.2277%</w:t>
      </w:r>
      <w:r>
        <w:rPr>
          <w:rFonts w:ascii="楷体" w:eastAsia="楷体" w:hAnsi="楷体" w:cs="楷体" w:hint="eastAsia"/>
          <w:sz w:val="24"/>
        </w:rPr>
        <w:t>；弃权</w:t>
      </w:r>
      <w:r>
        <w:rPr>
          <w:rFonts w:ascii="楷体" w:eastAsia="楷体" w:hAnsi="楷体" w:cs="楷体" w:hint="eastAsia"/>
          <w:sz w:val="24"/>
        </w:rPr>
        <w:t>40,600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股），占出席会议股东及委托代理人所持股份的</w:t>
      </w:r>
      <w:r>
        <w:rPr>
          <w:rFonts w:ascii="楷体" w:eastAsia="楷体" w:hAnsi="楷体" w:cs="楷体" w:hint="eastAsia"/>
          <w:sz w:val="24"/>
        </w:rPr>
        <w:t>0.0306%</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533,400</w:t>
      </w:r>
      <w:r>
        <w:rPr>
          <w:rFonts w:ascii="楷体" w:eastAsia="楷体" w:hAnsi="楷体" w:cs="楷体" w:hint="eastAsia"/>
          <w:sz w:val="24"/>
        </w:rPr>
        <w:t>股，占出席会议中小股东所持股份的</w:t>
      </w:r>
      <w:r>
        <w:rPr>
          <w:rFonts w:ascii="楷体" w:eastAsia="楷体" w:hAnsi="楷体" w:cs="楷体" w:hint="eastAsia"/>
          <w:sz w:val="24"/>
        </w:rPr>
        <w:t>60.8557%</w:t>
      </w:r>
      <w:r>
        <w:rPr>
          <w:rFonts w:ascii="楷体" w:eastAsia="楷体" w:hAnsi="楷体" w:cs="楷体" w:hint="eastAsia"/>
          <w:sz w:val="24"/>
        </w:rPr>
        <w:t>；反对</w:t>
      </w:r>
      <w:r>
        <w:rPr>
          <w:rFonts w:ascii="楷体" w:eastAsia="楷体" w:hAnsi="楷体" w:cs="楷体" w:hint="eastAsia"/>
          <w:sz w:val="24"/>
        </w:rPr>
        <w:t>302,500</w:t>
      </w:r>
      <w:r>
        <w:rPr>
          <w:rFonts w:ascii="楷体" w:eastAsia="楷体" w:hAnsi="楷体" w:cs="楷体" w:hint="eastAsia"/>
          <w:sz w:val="24"/>
        </w:rPr>
        <w:t>股，占出席会议中小股东所持股份的</w:t>
      </w:r>
      <w:r>
        <w:rPr>
          <w:rFonts w:ascii="楷体" w:eastAsia="楷体" w:hAnsi="楷体" w:cs="楷体" w:hint="eastAsia"/>
          <w:sz w:val="24"/>
        </w:rPr>
        <w:t>34.5123%</w:t>
      </w:r>
      <w:r>
        <w:rPr>
          <w:rFonts w:ascii="楷体" w:eastAsia="楷体" w:hAnsi="楷体" w:cs="楷体" w:hint="eastAsia"/>
          <w:sz w:val="24"/>
        </w:rPr>
        <w:t>；弃权</w:t>
      </w:r>
      <w:r>
        <w:rPr>
          <w:rFonts w:ascii="楷体" w:eastAsia="楷体" w:hAnsi="楷体" w:cs="楷体" w:hint="eastAsia"/>
          <w:sz w:val="24"/>
        </w:rPr>
        <w:t>40,600</w:t>
      </w:r>
      <w:r>
        <w:rPr>
          <w:rFonts w:ascii="楷体" w:eastAsia="楷体" w:hAnsi="楷体" w:cs="楷体" w:hint="eastAsia"/>
          <w:sz w:val="24"/>
        </w:rPr>
        <w:t>股（</w:t>
      </w:r>
      <w:r>
        <w:rPr>
          <w:rFonts w:ascii="楷体" w:eastAsia="楷体" w:hAnsi="楷体" w:cs="楷体" w:hint="eastAsia"/>
          <w:sz w:val="24"/>
        </w:rPr>
        <w:t>其中，因未投票默认弃权</w:t>
      </w:r>
      <w:r>
        <w:rPr>
          <w:rFonts w:ascii="楷体" w:eastAsia="楷体" w:hAnsi="楷体" w:cs="楷体" w:hint="eastAsia"/>
          <w:sz w:val="24"/>
        </w:rPr>
        <w:t>0</w:t>
      </w:r>
      <w:r>
        <w:rPr>
          <w:rFonts w:ascii="楷体" w:eastAsia="楷体" w:hAnsi="楷体" w:cs="楷体" w:hint="eastAsia"/>
          <w:sz w:val="24"/>
        </w:rPr>
        <w:t>股），占出席会议中小股东所持股份的</w:t>
      </w:r>
      <w:r>
        <w:rPr>
          <w:rFonts w:ascii="楷体" w:eastAsia="楷体" w:hAnsi="楷体" w:cs="楷体" w:hint="eastAsia"/>
          <w:sz w:val="24"/>
        </w:rPr>
        <w:t>4.6321%</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《关于公司</w:t>
      </w:r>
      <w:r>
        <w:rPr>
          <w:rFonts w:ascii="楷体" w:eastAsia="楷体" w:hAnsi="楷体" w:cs="楷体" w:hint="eastAsia"/>
          <w:sz w:val="24"/>
        </w:rPr>
        <w:t>2024</w:t>
      </w:r>
      <w:r>
        <w:rPr>
          <w:rFonts w:ascii="楷体" w:eastAsia="楷体" w:hAnsi="楷体" w:cs="楷体" w:hint="eastAsia"/>
          <w:sz w:val="24"/>
        </w:rPr>
        <w:t>年度利润分配预案的议案》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132,503,300</w:t>
      </w:r>
      <w:r>
        <w:rPr>
          <w:rFonts w:ascii="楷体" w:eastAsia="楷体" w:hAnsi="楷体" w:cs="楷体" w:hint="eastAsia"/>
          <w:sz w:val="24"/>
        </w:rPr>
        <w:t>股，占出席会议股东及委托代理人所持股份的</w:t>
      </w:r>
      <w:r>
        <w:rPr>
          <w:rFonts w:ascii="楷体" w:eastAsia="楷体" w:hAnsi="楷体" w:cs="楷体" w:hint="eastAsia"/>
          <w:sz w:val="24"/>
        </w:rPr>
        <w:t>99.7341%</w:t>
      </w:r>
      <w:r>
        <w:rPr>
          <w:rFonts w:ascii="楷体" w:eastAsia="楷体" w:hAnsi="楷体" w:cs="楷体" w:hint="eastAsia"/>
          <w:sz w:val="24"/>
        </w:rPr>
        <w:t>；反对</w:t>
      </w:r>
      <w:r>
        <w:rPr>
          <w:rFonts w:ascii="楷体" w:eastAsia="楷体" w:hAnsi="楷体" w:cs="楷体" w:hint="eastAsia"/>
          <w:sz w:val="24"/>
        </w:rPr>
        <w:t>305,200</w:t>
      </w:r>
      <w:r>
        <w:rPr>
          <w:rFonts w:ascii="楷体" w:eastAsia="楷体" w:hAnsi="楷体" w:cs="楷体" w:hint="eastAsia"/>
          <w:sz w:val="24"/>
        </w:rPr>
        <w:t>股，占出席会议股东及委托代理人所持股份的</w:t>
      </w:r>
      <w:r>
        <w:rPr>
          <w:rFonts w:ascii="楷体" w:eastAsia="楷体" w:hAnsi="楷体" w:cs="楷体" w:hint="eastAsia"/>
          <w:sz w:val="24"/>
        </w:rPr>
        <w:t>0.2297%</w:t>
      </w:r>
      <w:r>
        <w:rPr>
          <w:rFonts w:ascii="楷体" w:eastAsia="楷体" w:hAnsi="楷体" w:cs="楷体" w:hint="eastAsia"/>
          <w:sz w:val="24"/>
        </w:rPr>
        <w:t>；弃权</w:t>
      </w:r>
      <w:r>
        <w:rPr>
          <w:rFonts w:ascii="楷体" w:eastAsia="楷体" w:hAnsi="楷体" w:cs="楷体" w:hint="eastAsia"/>
          <w:sz w:val="24"/>
        </w:rPr>
        <w:t>48,000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股），占出席会议股东及委托代理人所持股份的</w:t>
      </w:r>
      <w:r>
        <w:rPr>
          <w:rFonts w:ascii="楷体" w:eastAsia="楷体" w:hAnsi="楷体" w:cs="楷体" w:hint="eastAsia"/>
          <w:sz w:val="24"/>
        </w:rPr>
        <w:t>0.0361%</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523,300</w:t>
      </w:r>
      <w:r>
        <w:rPr>
          <w:rFonts w:ascii="楷体" w:eastAsia="楷体" w:hAnsi="楷体" w:cs="楷体" w:hint="eastAsia"/>
          <w:sz w:val="24"/>
        </w:rPr>
        <w:t>股，占出席会议中小股东所持股份的</w:t>
      </w:r>
      <w:r>
        <w:rPr>
          <w:rFonts w:ascii="楷体" w:eastAsia="楷体" w:hAnsi="楷体" w:cs="楷体" w:hint="eastAsia"/>
          <w:sz w:val="24"/>
        </w:rPr>
        <w:t>59.7034%</w:t>
      </w:r>
      <w:r>
        <w:rPr>
          <w:rFonts w:ascii="楷体" w:eastAsia="楷体" w:hAnsi="楷体" w:cs="楷体" w:hint="eastAsia"/>
          <w:sz w:val="24"/>
        </w:rPr>
        <w:t>；反对</w:t>
      </w:r>
      <w:r>
        <w:rPr>
          <w:rFonts w:ascii="楷体" w:eastAsia="楷体" w:hAnsi="楷体" w:cs="楷体" w:hint="eastAsia"/>
          <w:sz w:val="24"/>
        </w:rPr>
        <w:t>305,200</w:t>
      </w:r>
      <w:r>
        <w:rPr>
          <w:rFonts w:ascii="楷体" w:eastAsia="楷体" w:hAnsi="楷体" w:cs="楷体" w:hint="eastAsia"/>
          <w:sz w:val="24"/>
        </w:rPr>
        <w:t>股，占出</w:t>
      </w:r>
      <w:r>
        <w:rPr>
          <w:rFonts w:ascii="楷体" w:eastAsia="楷体" w:hAnsi="楷体" w:cs="楷体" w:hint="eastAsia"/>
          <w:sz w:val="24"/>
        </w:rPr>
        <w:t>席会议中小股东所持股份的</w:t>
      </w:r>
      <w:r>
        <w:rPr>
          <w:rFonts w:ascii="楷体" w:eastAsia="楷体" w:hAnsi="楷体" w:cs="楷体" w:hint="eastAsia"/>
          <w:sz w:val="24"/>
        </w:rPr>
        <w:t>34.8203%</w:t>
      </w:r>
      <w:r>
        <w:rPr>
          <w:rFonts w:ascii="楷体" w:eastAsia="楷体" w:hAnsi="楷体" w:cs="楷体" w:hint="eastAsia"/>
          <w:sz w:val="24"/>
        </w:rPr>
        <w:t>；弃权</w:t>
      </w:r>
      <w:r>
        <w:rPr>
          <w:rFonts w:ascii="楷体" w:eastAsia="楷体" w:hAnsi="楷体" w:cs="楷体" w:hint="eastAsia"/>
          <w:sz w:val="24"/>
        </w:rPr>
        <w:t>48,000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股），占出席会议中小股东所持股份的</w:t>
      </w:r>
      <w:r>
        <w:rPr>
          <w:rFonts w:ascii="楷体" w:eastAsia="楷体" w:hAnsi="楷体" w:cs="楷体" w:hint="eastAsia"/>
          <w:sz w:val="24"/>
        </w:rPr>
        <w:t>5.4763%</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《关于公司</w:t>
      </w:r>
      <w:r>
        <w:rPr>
          <w:rFonts w:ascii="楷体" w:eastAsia="楷体" w:hAnsi="楷体" w:cs="楷体" w:hint="eastAsia"/>
          <w:sz w:val="24"/>
        </w:rPr>
        <w:t>2025</w:t>
      </w:r>
      <w:r>
        <w:rPr>
          <w:rFonts w:ascii="楷体" w:eastAsia="楷体" w:hAnsi="楷体" w:cs="楷体" w:hint="eastAsia"/>
          <w:sz w:val="24"/>
        </w:rPr>
        <w:t>年度申请不超过</w:t>
      </w:r>
      <w:r>
        <w:rPr>
          <w:rFonts w:ascii="楷体" w:eastAsia="楷体" w:hAnsi="楷体" w:cs="楷体" w:hint="eastAsia"/>
          <w:sz w:val="24"/>
        </w:rPr>
        <w:t>9</w:t>
      </w:r>
      <w:r>
        <w:rPr>
          <w:rFonts w:ascii="楷体" w:eastAsia="楷体" w:hAnsi="楷体" w:cs="楷体" w:hint="eastAsia"/>
          <w:sz w:val="24"/>
        </w:rPr>
        <w:t>亿元综合用信额度的议案》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132,499,100</w:t>
      </w:r>
      <w:r>
        <w:rPr>
          <w:rFonts w:ascii="楷体" w:eastAsia="楷体" w:hAnsi="楷体" w:cs="楷体" w:hint="eastAsia"/>
          <w:sz w:val="24"/>
        </w:rPr>
        <w:t>股，占出席会议股东及委托代理人所持股份的</w:t>
      </w:r>
      <w:r>
        <w:rPr>
          <w:rFonts w:ascii="楷体" w:eastAsia="楷体" w:hAnsi="楷体" w:cs="楷体" w:hint="eastAsia"/>
          <w:sz w:val="24"/>
        </w:rPr>
        <w:t>99.7310%</w:t>
      </w:r>
      <w:r>
        <w:rPr>
          <w:rFonts w:ascii="楷体" w:eastAsia="楷体" w:hAnsi="楷体" w:cs="楷体" w:hint="eastAsia"/>
          <w:sz w:val="24"/>
        </w:rPr>
        <w:t>；反对</w:t>
      </w:r>
      <w:r>
        <w:rPr>
          <w:rFonts w:ascii="楷体" w:eastAsia="楷体" w:hAnsi="楷体" w:cs="楷体" w:hint="eastAsia"/>
          <w:sz w:val="24"/>
        </w:rPr>
        <w:t>305,200</w:t>
      </w:r>
      <w:r>
        <w:rPr>
          <w:rFonts w:ascii="楷体" w:eastAsia="楷体" w:hAnsi="楷体" w:cs="楷体" w:hint="eastAsia"/>
          <w:sz w:val="24"/>
        </w:rPr>
        <w:t>股，占出席会议股东及委托代理人所持股份的</w:t>
      </w:r>
      <w:r>
        <w:rPr>
          <w:rFonts w:ascii="楷体" w:eastAsia="楷体" w:hAnsi="楷体" w:cs="楷体" w:hint="eastAsia"/>
          <w:sz w:val="24"/>
        </w:rPr>
        <w:t>0.2297%</w:t>
      </w:r>
      <w:r>
        <w:rPr>
          <w:rFonts w:ascii="楷体" w:eastAsia="楷体" w:hAnsi="楷体" w:cs="楷体" w:hint="eastAsia"/>
          <w:sz w:val="24"/>
        </w:rPr>
        <w:t>；弃权</w:t>
      </w:r>
      <w:r>
        <w:rPr>
          <w:rFonts w:ascii="楷体" w:eastAsia="楷体" w:hAnsi="楷体" w:cs="楷体" w:hint="eastAsia"/>
          <w:sz w:val="24"/>
        </w:rPr>
        <w:t>52,200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股），占出席会议股东及委托代理人所持股份的</w:t>
      </w:r>
      <w:r>
        <w:rPr>
          <w:rFonts w:ascii="楷体" w:eastAsia="楷体" w:hAnsi="楷体" w:cs="楷体" w:hint="eastAsia"/>
          <w:sz w:val="24"/>
        </w:rPr>
        <w:t>0.0393%</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519,100</w:t>
      </w:r>
      <w:r>
        <w:rPr>
          <w:rFonts w:ascii="楷体" w:eastAsia="楷体" w:hAnsi="楷体" w:cs="楷体" w:hint="eastAsia"/>
          <w:sz w:val="24"/>
        </w:rPr>
        <w:t>股，占出席会议中小股东所持股份的</w:t>
      </w:r>
      <w:r>
        <w:rPr>
          <w:rFonts w:ascii="楷体" w:eastAsia="楷体" w:hAnsi="楷体" w:cs="楷体" w:hint="eastAsia"/>
          <w:sz w:val="24"/>
        </w:rPr>
        <w:t>59.2242%</w:t>
      </w:r>
      <w:r>
        <w:rPr>
          <w:rFonts w:ascii="楷体" w:eastAsia="楷体" w:hAnsi="楷体" w:cs="楷体" w:hint="eastAsia"/>
          <w:sz w:val="24"/>
        </w:rPr>
        <w:t>；反对</w:t>
      </w:r>
      <w:r>
        <w:rPr>
          <w:rFonts w:ascii="楷体" w:eastAsia="楷体" w:hAnsi="楷体" w:cs="楷体" w:hint="eastAsia"/>
          <w:sz w:val="24"/>
        </w:rPr>
        <w:t>305,200</w:t>
      </w:r>
      <w:r>
        <w:rPr>
          <w:rFonts w:ascii="楷体" w:eastAsia="楷体" w:hAnsi="楷体" w:cs="楷体" w:hint="eastAsia"/>
          <w:sz w:val="24"/>
        </w:rPr>
        <w:t>股，占出席会议中小股东所持股份的</w:t>
      </w:r>
      <w:r>
        <w:rPr>
          <w:rFonts w:ascii="楷体" w:eastAsia="楷体" w:hAnsi="楷体" w:cs="楷体" w:hint="eastAsia"/>
          <w:sz w:val="24"/>
        </w:rPr>
        <w:t>34.8203%</w:t>
      </w:r>
      <w:r>
        <w:rPr>
          <w:rFonts w:ascii="楷体" w:eastAsia="楷体" w:hAnsi="楷体" w:cs="楷体" w:hint="eastAsia"/>
          <w:sz w:val="24"/>
        </w:rPr>
        <w:t>；弃权</w:t>
      </w:r>
      <w:r>
        <w:rPr>
          <w:rFonts w:ascii="楷体" w:eastAsia="楷体" w:hAnsi="楷体" w:cs="楷体" w:hint="eastAsia"/>
          <w:sz w:val="24"/>
        </w:rPr>
        <w:t>52,200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股），占出席会议中小股东所持股份的</w:t>
      </w:r>
      <w:r>
        <w:rPr>
          <w:rFonts w:ascii="楷体" w:eastAsia="楷体" w:hAnsi="楷体" w:cs="楷体" w:hint="eastAsia"/>
          <w:sz w:val="24"/>
        </w:rPr>
        <w:t>5.9555%</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7.</w:t>
      </w:r>
      <w:r>
        <w:rPr>
          <w:rFonts w:ascii="楷体" w:eastAsia="楷体" w:hAnsi="楷体" w:cs="楷体" w:hint="eastAsia"/>
          <w:sz w:val="24"/>
        </w:rPr>
        <w:t>《关于购买董监高责任险的议案》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总表决情况：同意</w:t>
      </w:r>
      <w:r>
        <w:rPr>
          <w:rFonts w:ascii="楷体" w:eastAsia="楷体" w:hAnsi="楷体" w:cs="楷体" w:hint="eastAsia"/>
          <w:sz w:val="24"/>
        </w:rPr>
        <w:t>132,502,500</w:t>
      </w:r>
      <w:r>
        <w:rPr>
          <w:rFonts w:ascii="楷体" w:eastAsia="楷体" w:hAnsi="楷体" w:cs="楷体" w:hint="eastAsia"/>
          <w:sz w:val="24"/>
        </w:rPr>
        <w:t>股，占出席会议股东及委托代理人所持股份的</w:t>
      </w:r>
      <w:r>
        <w:rPr>
          <w:rFonts w:ascii="楷体" w:eastAsia="楷体" w:hAnsi="楷体" w:cs="楷体" w:hint="eastAsia"/>
          <w:sz w:val="24"/>
        </w:rPr>
        <w:t>99.7335%</w:t>
      </w:r>
      <w:r>
        <w:rPr>
          <w:rFonts w:ascii="楷体" w:eastAsia="楷体" w:hAnsi="楷体" w:cs="楷体" w:hint="eastAsia"/>
          <w:sz w:val="24"/>
        </w:rPr>
        <w:t>；反对</w:t>
      </w:r>
      <w:r>
        <w:rPr>
          <w:rFonts w:ascii="楷体" w:eastAsia="楷体" w:hAnsi="楷体" w:cs="楷体" w:hint="eastAsia"/>
          <w:sz w:val="24"/>
        </w:rPr>
        <w:t>313,700</w:t>
      </w:r>
      <w:r>
        <w:rPr>
          <w:rFonts w:ascii="楷体" w:eastAsia="楷体" w:hAnsi="楷体" w:cs="楷体" w:hint="eastAsia"/>
          <w:sz w:val="24"/>
        </w:rPr>
        <w:t>股，占出席会议股东及委托代理人所持股份的</w:t>
      </w:r>
      <w:r>
        <w:rPr>
          <w:rFonts w:ascii="楷体" w:eastAsia="楷体" w:hAnsi="楷体" w:cs="楷体" w:hint="eastAsia"/>
          <w:sz w:val="24"/>
        </w:rPr>
        <w:t>0.2361%</w:t>
      </w:r>
      <w:r>
        <w:rPr>
          <w:rFonts w:ascii="楷体" w:eastAsia="楷体" w:hAnsi="楷体" w:cs="楷体" w:hint="eastAsia"/>
          <w:sz w:val="24"/>
        </w:rPr>
        <w:t>；弃权</w:t>
      </w:r>
      <w:r>
        <w:rPr>
          <w:rFonts w:ascii="楷体" w:eastAsia="楷体" w:hAnsi="楷体" w:cs="楷体" w:hint="eastAsia"/>
          <w:sz w:val="24"/>
        </w:rPr>
        <w:t>40,300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w:t>
      </w:r>
      <w:r>
        <w:rPr>
          <w:rFonts w:ascii="楷体" w:eastAsia="楷体" w:hAnsi="楷体" w:cs="楷体" w:hint="eastAsia"/>
          <w:sz w:val="24"/>
        </w:rPr>
        <w:t>席会议股东及委托代理人所持股份的</w:t>
      </w:r>
      <w:r>
        <w:rPr>
          <w:rFonts w:ascii="楷体" w:eastAsia="楷体" w:hAnsi="楷体" w:cs="楷体" w:hint="eastAsia"/>
          <w:sz w:val="24"/>
        </w:rPr>
        <w:t>0.0303%</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中小股东总表决情况：同意</w:t>
      </w:r>
      <w:r>
        <w:rPr>
          <w:rFonts w:ascii="楷体" w:eastAsia="楷体" w:hAnsi="楷体" w:cs="楷体" w:hint="eastAsia"/>
          <w:sz w:val="24"/>
        </w:rPr>
        <w:t>522,500</w:t>
      </w:r>
      <w:r>
        <w:rPr>
          <w:rFonts w:ascii="楷体" w:eastAsia="楷体" w:hAnsi="楷体" w:cs="楷体" w:hint="eastAsia"/>
          <w:sz w:val="24"/>
        </w:rPr>
        <w:t>股，占出席会议中小股东所持股份的</w:t>
      </w:r>
      <w:r>
        <w:rPr>
          <w:rFonts w:ascii="楷体" w:eastAsia="楷体" w:hAnsi="楷体" w:cs="楷体" w:hint="eastAsia"/>
          <w:sz w:val="24"/>
        </w:rPr>
        <w:t>59.6121%</w:t>
      </w:r>
      <w:r>
        <w:rPr>
          <w:rFonts w:ascii="楷体" w:eastAsia="楷体" w:hAnsi="楷体" w:cs="楷体" w:hint="eastAsia"/>
          <w:sz w:val="24"/>
        </w:rPr>
        <w:t>；反对</w:t>
      </w:r>
      <w:r>
        <w:rPr>
          <w:rFonts w:ascii="楷体" w:eastAsia="楷体" w:hAnsi="楷体" w:cs="楷体" w:hint="eastAsia"/>
          <w:sz w:val="24"/>
        </w:rPr>
        <w:t>313,700</w:t>
      </w:r>
      <w:r>
        <w:rPr>
          <w:rFonts w:ascii="楷体" w:eastAsia="楷体" w:hAnsi="楷体" w:cs="楷体" w:hint="eastAsia"/>
          <w:sz w:val="24"/>
        </w:rPr>
        <w:t>股，占出席会议中小股东所持股份的</w:t>
      </w:r>
      <w:r>
        <w:rPr>
          <w:rFonts w:ascii="楷体" w:eastAsia="楷体" w:hAnsi="楷体" w:cs="楷体" w:hint="eastAsia"/>
          <w:sz w:val="24"/>
        </w:rPr>
        <w:t>35.7901%</w:t>
      </w:r>
      <w:r>
        <w:rPr>
          <w:rFonts w:ascii="楷体" w:eastAsia="楷体" w:hAnsi="楷体" w:cs="楷体" w:hint="eastAsia"/>
          <w:sz w:val="24"/>
        </w:rPr>
        <w:t>；弃权</w:t>
      </w:r>
      <w:r>
        <w:rPr>
          <w:rFonts w:ascii="楷体" w:eastAsia="楷体" w:hAnsi="楷体" w:cs="楷体" w:hint="eastAsia"/>
          <w:sz w:val="24"/>
        </w:rPr>
        <w:t>40,300</w:t>
      </w:r>
      <w:r>
        <w:rPr>
          <w:rFonts w:ascii="楷体" w:eastAsia="楷体" w:hAnsi="楷体" w:cs="楷体" w:hint="eastAsia"/>
          <w:sz w:val="24"/>
        </w:rPr>
        <w:t>股（其中，因未投票默认弃权</w:t>
      </w:r>
      <w:r>
        <w:rPr>
          <w:rFonts w:ascii="楷体" w:eastAsia="楷体" w:hAnsi="楷体" w:cs="楷体" w:hint="eastAsia"/>
          <w:sz w:val="24"/>
        </w:rPr>
        <w:t>0</w:t>
      </w:r>
      <w:r>
        <w:rPr>
          <w:rFonts w:ascii="楷体" w:eastAsia="楷体" w:hAnsi="楷体" w:cs="楷体" w:hint="eastAsia"/>
          <w:sz w:val="24"/>
        </w:rPr>
        <w:t>股），占出席会议中小股东所持股份的</w:t>
      </w:r>
      <w:r>
        <w:rPr>
          <w:rFonts w:ascii="楷体" w:eastAsia="楷体" w:hAnsi="楷体" w:cs="楷体" w:hint="eastAsia"/>
          <w:sz w:val="24"/>
        </w:rPr>
        <w:t>4.5978%</w:t>
      </w:r>
      <w:r>
        <w:rPr>
          <w:rFonts w:ascii="楷体" w:eastAsia="楷体" w:hAnsi="楷体" w:cs="楷体" w:hint="eastAsia"/>
          <w:sz w:val="24"/>
        </w:rPr>
        <w:t>。</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本次股东大会审议的议案均为普通决议事项，经出席股东大会的股东及委托代理人所持表决权过半数表决通过。</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综上，</w:t>
      </w:r>
      <w:r>
        <w:rPr>
          <w:rFonts w:ascii="楷体" w:eastAsia="楷体" w:hAnsi="楷体" w:cs="楷体" w:hint="eastAsia"/>
          <w:sz w:val="24"/>
        </w:rPr>
        <w:t>本次股东大会所审议的议案经出席会议的股东及委托代理人所持表决权有效表决通过。</w:t>
      </w:r>
    </w:p>
    <w:p w:rsidR="0072379F" w:rsidRDefault="00D11E3C">
      <w:pPr>
        <w:spacing w:afterLines="50" w:after="156" w:line="360" w:lineRule="auto"/>
        <w:ind w:firstLineChars="200" w:firstLine="482"/>
        <w:rPr>
          <w:rFonts w:ascii="楷体" w:eastAsia="楷体" w:hAnsi="楷体" w:cs="楷体"/>
          <w:b/>
          <w:bCs/>
          <w:sz w:val="24"/>
        </w:rPr>
      </w:pPr>
      <w:r>
        <w:rPr>
          <w:rFonts w:ascii="楷体" w:eastAsia="楷体" w:hAnsi="楷体" w:cs="楷体" w:hint="eastAsia"/>
          <w:b/>
          <w:bCs/>
          <w:sz w:val="24"/>
        </w:rPr>
        <w:t>（三）会议记录</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本次股东大</w:t>
      </w:r>
      <w:r>
        <w:rPr>
          <w:rFonts w:ascii="楷体" w:eastAsia="楷体" w:hAnsi="楷体" w:cs="楷体" w:hint="eastAsia"/>
          <w:sz w:val="24"/>
        </w:rPr>
        <w:t>会会议记录由出席会议的公司董事、监事、董事会秘书、召集人或其代表、会议主持人签名。</w:t>
      </w:r>
    </w:p>
    <w:p w:rsidR="0072379F" w:rsidRDefault="00D11E3C">
      <w:pPr>
        <w:spacing w:afterLines="50" w:after="156" w:line="360" w:lineRule="auto"/>
        <w:ind w:firstLineChars="200" w:firstLine="480"/>
        <w:rPr>
          <w:rFonts w:ascii="楷体" w:eastAsia="楷体" w:hAnsi="楷体" w:cs="楷体"/>
          <w:color w:val="FF0000"/>
          <w:sz w:val="24"/>
        </w:rPr>
      </w:pPr>
      <w:r>
        <w:rPr>
          <w:rFonts w:ascii="楷体" w:eastAsia="楷体" w:hAnsi="楷体" w:cs="楷体" w:hint="eastAsia"/>
          <w:sz w:val="24"/>
        </w:rPr>
        <w:t>经本所律师</w:t>
      </w:r>
      <w:r>
        <w:rPr>
          <w:rFonts w:ascii="楷体" w:eastAsia="楷体" w:hAnsi="楷体" w:cs="楷体" w:hint="eastAsia"/>
          <w:sz w:val="24"/>
        </w:rPr>
        <w:t>核查</w:t>
      </w:r>
      <w:r>
        <w:rPr>
          <w:rFonts w:ascii="楷体" w:eastAsia="楷体" w:hAnsi="楷体" w:cs="楷体" w:hint="eastAsia"/>
          <w:sz w:val="24"/>
        </w:rPr>
        <w:t>，本次股东大会的表决程序及表决结果符合相关法律、行政法规、《规则》及现行《公司章程》的规定，合法、有效。</w:t>
      </w:r>
    </w:p>
    <w:p w:rsidR="0072379F" w:rsidRDefault="00D11E3C">
      <w:pPr>
        <w:spacing w:beforeLines="50" w:before="156" w:afterLines="50" w:after="156" w:line="360" w:lineRule="auto"/>
        <w:ind w:firstLineChars="200" w:firstLine="482"/>
        <w:outlineLvl w:val="0"/>
        <w:rPr>
          <w:rFonts w:ascii="楷体" w:eastAsia="楷体" w:hAnsi="楷体" w:cs="楷体"/>
          <w:b/>
          <w:bCs/>
          <w:sz w:val="24"/>
        </w:rPr>
      </w:pPr>
      <w:r>
        <w:rPr>
          <w:rFonts w:ascii="楷体" w:eastAsia="楷体" w:hAnsi="楷体" w:cs="楷体" w:hint="eastAsia"/>
          <w:b/>
          <w:bCs/>
          <w:sz w:val="24"/>
        </w:rPr>
        <w:t>四、结论</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综上所述，本所律师认为，公司本次股东大会的召集、召开程序符合有关法律、行政法规、《规则》及公司现行《公司章程》的规定；出席本次股东大会人员的资格、召集人资格合法、有效；本次股东大会的表决程序和表决结果合法、有效。</w:t>
      </w:r>
    </w:p>
    <w:p w:rsidR="0072379F" w:rsidRDefault="00D11E3C">
      <w:pPr>
        <w:spacing w:afterLines="50" w:after="156" w:line="360" w:lineRule="auto"/>
        <w:ind w:firstLineChars="200" w:firstLine="480"/>
        <w:rPr>
          <w:rFonts w:ascii="楷体" w:eastAsia="楷体" w:hAnsi="楷体" w:cs="楷体"/>
          <w:sz w:val="24"/>
        </w:rPr>
      </w:pPr>
      <w:r>
        <w:rPr>
          <w:rFonts w:ascii="楷体" w:eastAsia="楷体" w:hAnsi="楷体" w:cs="楷体" w:hint="eastAsia"/>
          <w:sz w:val="24"/>
        </w:rPr>
        <w:t>本法律意见书一式两份，经本所负责人及经办律师签字并加盖本所公章后生效，具有同等法律效力。</w:t>
      </w:r>
    </w:p>
    <w:p w:rsidR="0072379F" w:rsidRDefault="0072379F">
      <w:pPr>
        <w:spacing w:afterLines="50" w:after="156" w:line="360" w:lineRule="auto"/>
        <w:sectPr w:rsidR="0072379F">
          <w:headerReference w:type="default" r:id="rId7"/>
          <w:footerReference w:type="default" r:id="rId8"/>
          <w:pgSz w:w="11906" w:h="16838"/>
          <w:pgMar w:top="3045" w:right="1797" w:bottom="1440" w:left="1797" w:header="851" w:footer="992" w:gutter="0"/>
          <w:cols w:space="425"/>
          <w:docGrid w:type="lines" w:linePitch="312"/>
        </w:sectPr>
      </w:pPr>
    </w:p>
    <w:p w:rsidR="0072379F" w:rsidRDefault="00D11E3C">
      <w:pPr>
        <w:spacing w:afterLines="50" w:after="156" w:line="360" w:lineRule="auto"/>
        <w:rPr>
          <w:rFonts w:ascii="楷体" w:eastAsia="楷体" w:hAnsi="楷体" w:cs="楷体"/>
          <w:b/>
          <w:sz w:val="24"/>
        </w:rPr>
      </w:pPr>
      <w:r>
        <w:rPr>
          <w:rFonts w:ascii="楷体" w:eastAsia="楷体" w:hAnsi="楷体" w:cs="楷体" w:hint="eastAsia"/>
          <w:sz w:val="24"/>
        </w:rPr>
        <w:t>（本页无正文，为《北京观韬（西安）律师事务所关于南京宝色股份公司</w:t>
      </w:r>
      <w:r>
        <w:rPr>
          <w:rFonts w:ascii="楷体" w:eastAsia="楷体" w:hAnsi="楷体" w:cs="楷体" w:hint="eastAsia"/>
          <w:sz w:val="24"/>
        </w:rPr>
        <w:t>202</w:t>
      </w:r>
      <w:r>
        <w:rPr>
          <w:rFonts w:ascii="楷体" w:eastAsia="楷体" w:hAnsi="楷体" w:cs="楷体" w:hint="eastAsia"/>
          <w:sz w:val="24"/>
        </w:rPr>
        <w:t>4</w:t>
      </w:r>
      <w:r>
        <w:rPr>
          <w:rFonts w:ascii="楷体" w:eastAsia="楷体" w:hAnsi="楷体" w:cs="楷体" w:hint="eastAsia"/>
          <w:sz w:val="24"/>
        </w:rPr>
        <w:t>年</w:t>
      </w:r>
      <w:r>
        <w:rPr>
          <w:rFonts w:ascii="楷体" w:eastAsia="楷体" w:hAnsi="楷体" w:cs="楷体" w:hint="eastAsia"/>
          <w:sz w:val="24"/>
        </w:rPr>
        <w:t>年度</w:t>
      </w:r>
      <w:r>
        <w:rPr>
          <w:rFonts w:ascii="楷体" w:eastAsia="楷体" w:hAnsi="楷体" w:cs="楷体" w:hint="eastAsia"/>
          <w:sz w:val="24"/>
        </w:rPr>
        <w:t>股东大会的法律意见书》之签字盖章页）</w:t>
      </w:r>
    </w:p>
    <w:p w:rsidR="0072379F" w:rsidRDefault="0072379F">
      <w:pPr>
        <w:spacing w:line="480" w:lineRule="auto"/>
        <w:rPr>
          <w:rFonts w:ascii="楷体" w:eastAsia="楷体" w:hAnsi="楷体" w:cs="楷体"/>
          <w:sz w:val="24"/>
        </w:rPr>
      </w:pPr>
    </w:p>
    <w:p w:rsidR="0072379F" w:rsidRDefault="0072379F">
      <w:pPr>
        <w:spacing w:line="480" w:lineRule="auto"/>
        <w:rPr>
          <w:rFonts w:ascii="楷体" w:eastAsia="楷体" w:hAnsi="楷体" w:cs="楷体"/>
          <w:sz w:val="24"/>
        </w:rPr>
      </w:pPr>
    </w:p>
    <w:p w:rsidR="0072379F" w:rsidRDefault="0072379F">
      <w:pPr>
        <w:spacing w:line="480" w:lineRule="auto"/>
        <w:rPr>
          <w:rFonts w:ascii="楷体" w:eastAsia="楷体" w:hAnsi="楷体" w:cs="楷体"/>
          <w:sz w:val="24"/>
        </w:rPr>
      </w:pPr>
    </w:p>
    <w:p w:rsidR="0072379F" w:rsidRDefault="00D11E3C">
      <w:pPr>
        <w:spacing w:line="360" w:lineRule="auto"/>
        <w:ind w:firstLineChars="200" w:firstLine="480"/>
        <w:rPr>
          <w:rFonts w:ascii="楷体" w:eastAsia="楷体" w:hAnsi="楷体" w:cs="楷体"/>
          <w:sz w:val="24"/>
        </w:rPr>
      </w:pPr>
      <w:r>
        <w:rPr>
          <w:rFonts w:ascii="楷体" w:eastAsia="楷体" w:hAnsi="楷体" w:cs="楷体" w:hint="eastAsia"/>
          <w:sz w:val="24"/>
        </w:rPr>
        <w:t>北京观韬（西安）律师事务所</w:t>
      </w:r>
    </w:p>
    <w:p w:rsidR="0072379F" w:rsidRDefault="0072379F">
      <w:pPr>
        <w:spacing w:line="360" w:lineRule="auto"/>
        <w:ind w:firstLineChars="200" w:firstLine="480"/>
        <w:rPr>
          <w:rFonts w:ascii="楷体" w:eastAsia="楷体" w:hAnsi="楷体" w:cs="楷体"/>
          <w:sz w:val="24"/>
        </w:rPr>
      </w:pPr>
    </w:p>
    <w:p w:rsidR="0072379F" w:rsidRDefault="0072379F">
      <w:pPr>
        <w:spacing w:line="360" w:lineRule="auto"/>
        <w:ind w:firstLineChars="200" w:firstLine="480"/>
        <w:rPr>
          <w:rFonts w:ascii="楷体" w:eastAsia="楷体" w:hAnsi="楷体" w:cs="楷体"/>
          <w:sz w:val="24"/>
        </w:rPr>
      </w:pPr>
    </w:p>
    <w:p w:rsidR="0072379F" w:rsidRDefault="00D11E3C">
      <w:pPr>
        <w:spacing w:line="360" w:lineRule="auto"/>
        <w:ind w:firstLineChars="200" w:firstLine="480"/>
        <w:rPr>
          <w:rFonts w:ascii="楷体" w:eastAsia="楷体" w:hAnsi="楷体" w:cs="楷体"/>
          <w:sz w:val="24"/>
        </w:rPr>
      </w:pPr>
      <w:r>
        <w:rPr>
          <w:rFonts w:ascii="楷体" w:eastAsia="楷体" w:hAnsi="楷体" w:cs="楷体" w:hint="eastAsia"/>
          <w:sz w:val="24"/>
        </w:rPr>
        <w:t>负责人：贾建伟</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经办律师：张翠雨</w:t>
      </w:r>
    </w:p>
    <w:p w:rsidR="0072379F" w:rsidRDefault="0072379F">
      <w:pPr>
        <w:spacing w:line="480" w:lineRule="auto"/>
        <w:rPr>
          <w:rFonts w:ascii="楷体" w:eastAsia="楷体" w:hAnsi="楷体" w:cs="楷体"/>
          <w:sz w:val="24"/>
        </w:rPr>
      </w:pPr>
    </w:p>
    <w:p w:rsidR="0072379F" w:rsidRDefault="00D11E3C">
      <w:pPr>
        <w:spacing w:line="360" w:lineRule="auto"/>
        <w:ind w:firstLineChars="200" w:firstLine="48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u w:val="single"/>
        </w:rPr>
        <w:t xml:space="preserve">               </w:t>
      </w:r>
      <w:r>
        <w:rPr>
          <w:rFonts w:ascii="楷体" w:eastAsia="楷体" w:hAnsi="楷体" w:cs="楷体" w:hint="eastAsia"/>
          <w:sz w:val="24"/>
        </w:rPr>
        <w:t xml:space="preserve">                      </w:t>
      </w:r>
      <w:r>
        <w:rPr>
          <w:rFonts w:ascii="楷体" w:eastAsia="楷体" w:hAnsi="楷体" w:cs="楷体" w:hint="eastAsia"/>
          <w:sz w:val="24"/>
          <w:u w:val="single"/>
        </w:rPr>
        <w:t xml:space="preserve">                </w:t>
      </w:r>
    </w:p>
    <w:p w:rsidR="0072379F" w:rsidRDefault="0072379F">
      <w:pPr>
        <w:spacing w:line="360" w:lineRule="auto"/>
        <w:ind w:firstLineChars="200" w:firstLine="480"/>
        <w:rPr>
          <w:rFonts w:ascii="楷体" w:eastAsia="楷体" w:hAnsi="楷体" w:cs="楷体"/>
          <w:sz w:val="24"/>
        </w:rPr>
      </w:pPr>
    </w:p>
    <w:p w:rsidR="0072379F" w:rsidRDefault="0072379F">
      <w:pPr>
        <w:spacing w:line="360" w:lineRule="auto"/>
        <w:ind w:firstLineChars="200" w:firstLine="480"/>
        <w:rPr>
          <w:rFonts w:ascii="楷体" w:eastAsia="楷体" w:hAnsi="楷体" w:cs="楷体"/>
          <w:sz w:val="24"/>
        </w:rPr>
      </w:pPr>
    </w:p>
    <w:p w:rsidR="0072379F" w:rsidRDefault="00D11E3C">
      <w:pPr>
        <w:spacing w:line="360" w:lineRule="auto"/>
        <w:ind w:firstLineChars="200" w:firstLine="48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经办律师：杨梅</w:t>
      </w:r>
    </w:p>
    <w:p w:rsidR="0072379F" w:rsidRDefault="0072379F">
      <w:pPr>
        <w:spacing w:line="480" w:lineRule="auto"/>
        <w:rPr>
          <w:rFonts w:ascii="楷体" w:eastAsia="楷体" w:hAnsi="楷体" w:cs="楷体"/>
          <w:sz w:val="24"/>
        </w:rPr>
      </w:pPr>
    </w:p>
    <w:p w:rsidR="0072379F" w:rsidRDefault="00D11E3C">
      <w:pPr>
        <w:spacing w:line="360" w:lineRule="auto"/>
        <w:ind w:firstLineChars="200" w:firstLine="48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u w:val="single"/>
        </w:rPr>
        <w:t xml:space="preserve">                </w:t>
      </w:r>
    </w:p>
    <w:p w:rsidR="0072379F" w:rsidRDefault="0072379F">
      <w:pPr>
        <w:spacing w:line="360" w:lineRule="auto"/>
        <w:ind w:firstLineChars="200" w:firstLine="480"/>
        <w:rPr>
          <w:rFonts w:ascii="楷体" w:eastAsia="楷体" w:hAnsi="楷体" w:cs="楷体"/>
          <w:sz w:val="24"/>
        </w:rPr>
      </w:pPr>
    </w:p>
    <w:p w:rsidR="0072379F" w:rsidRDefault="0072379F">
      <w:pPr>
        <w:spacing w:line="360" w:lineRule="auto"/>
        <w:ind w:firstLineChars="200" w:firstLine="480"/>
        <w:rPr>
          <w:rFonts w:ascii="楷体" w:eastAsia="楷体" w:hAnsi="楷体" w:cs="楷体"/>
          <w:sz w:val="24"/>
        </w:rPr>
      </w:pPr>
    </w:p>
    <w:p w:rsidR="0072379F" w:rsidRDefault="0072379F">
      <w:pPr>
        <w:spacing w:line="360" w:lineRule="auto"/>
        <w:ind w:firstLineChars="200" w:firstLine="480"/>
        <w:rPr>
          <w:rFonts w:ascii="楷体" w:eastAsia="楷体" w:hAnsi="楷体" w:cs="楷体"/>
          <w:sz w:val="24"/>
        </w:rPr>
      </w:pPr>
    </w:p>
    <w:p w:rsidR="0072379F" w:rsidRDefault="00D11E3C">
      <w:pPr>
        <w:spacing w:line="360" w:lineRule="auto"/>
        <w:ind w:firstLineChars="200" w:firstLine="480"/>
        <w:rPr>
          <w:rFonts w:ascii="Calibri" w:eastAsia="宋体" w:hAnsi="Calibri" w:cs="Times New Roman"/>
        </w:rPr>
      </w:pPr>
      <w:r>
        <w:rPr>
          <w:rFonts w:ascii="楷体" w:eastAsia="楷体" w:hAnsi="楷体" w:cs="楷体" w:hint="eastAsia"/>
          <w:sz w:val="24"/>
        </w:rPr>
        <w:t xml:space="preserve">               </w:t>
      </w:r>
      <w:r w:rsidR="00342C68">
        <w:rPr>
          <w:rFonts w:ascii="楷体" w:eastAsia="楷体" w:hAnsi="楷体" w:cs="楷体" w:hint="eastAsia"/>
          <w:sz w:val="24"/>
        </w:rPr>
        <w:t xml:space="preserve">                               </w:t>
      </w:r>
      <w:r w:rsidR="00342C68">
        <w:rPr>
          <w:rFonts w:ascii="楷体" w:eastAsia="楷体" w:hAnsi="楷体" w:cs="楷体"/>
          <w:sz w:val="24"/>
        </w:rPr>
        <w:t>2025</w:t>
      </w:r>
      <w:r>
        <w:rPr>
          <w:rFonts w:ascii="楷体" w:eastAsia="楷体" w:hAnsi="楷体" w:cs="楷体" w:hint="eastAsia"/>
          <w:sz w:val="24"/>
        </w:rPr>
        <w:t xml:space="preserve"> </w:t>
      </w:r>
      <w:r w:rsidR="00342C68">
        <w:rPr>
          <w:rFonts w:ascii="楷体" w:eastAsia="楷体" w:hAnsi="楷体" w:cs="楷体" w:hint="eastAsia"/>
          <w:sz w:val="24"/>
        </w:rPr>
        <w:t xml:space="preserve">年 </w:t>
      </w:r>
      <w:r w:rsidR="00342C68">
        <w:rPr>
          <w:rFonts w:ascii="楷体" w:eastAsia="楷体" w:hAnsi="楷体" w:cs="楷体"/>
          <w:sz w:val="24"/>
        </w:rPr>
        <w:t>5</w:t>
      </w:r>
      <w:r w:rsidR="00342C68">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sidR="00342C68">
        <w:rPr>
          <w:rFonts w:ascii="楷体" w:eastAsia="楷体" w:hAnsi="楷体" w:cs="楷体"/>
          <w:sz w:val="24"/>
        </w:rPr>
        <w:t>22</w:t>
      </w:r>
      <w:r w:rsidR="00342C68">
        <w:rPr>
          <w:rFonts w:ascii="楷体" w:eastAsia="楷体" w:hAnsi="楷体" w:cs="楷体" w:hint="eastAsia"/>
          <w:sz w:val="24"/>
        </w:rPr>
        <w:t xml:space="preserve"> </w:t>
      </w:r>
      <w:bookmarkStart w:id="0" w:name="_GoBack"/>
      <w:bookmarkEnd w:id="0"/>
      <w:r>
        <w:rPr>
          <w:rFonts w:ascii="楷体" w:eastAsia="楷体" w:hAnsi="楷体" w:cs="楷体" w:hint="eastAsia"/>
          <w:sz w:val="24"/>
        </w:rPr>
        <w:t>日</w:t>
      </w:r>
    </w:p>
    <w:p w:rsidR="0072379F" w:rsidRDefault="0072379F">
      <w:pPr>
        <w:adjustRightInd w:val="0"/>
        <w:snapToGrid w:val="0"/>
        <w:spacing w:line="360" w:lineRule="auto"/>
        <w:jc w:val="center"/>
        <w:rPr>
          <w:rFonts w:ascii="黑体" w:eastAsia="黑体" w:hAnsi="黑体" w:cs="Times New Roman"/>
          <w:b/>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jc w:val="left"/>
        <w:rPr>
          <w:rFonts w:ascii="黑体" w:eastAsia="黑体" w:hAnsi="黑体" w:cs="Times New Roman"/>
          <w:sz w:val="24"/>
          <w:szCs w:val="24"/>
        </w:rPr>
      </w:pPr>
    </w:p>
    <w:p w:rsidR="0072379F" w:rsidRDefault="0072379F">
      <w:pPr>
        <w:spacing w:afterLines="50" w:after="156" w:line="360" w:lineRule="auto"/>
      </w:pPr>
    </w:p>
    <w:sectPr w:rsidR="0072379F">
      <w:footerReference w:type="first" r:id="rId9"/>
      <w:pgSz w:w="11906" w:h="16838"/>
      <w:pgMar w:top="1440" w:right="1797" w:bottom="1440" w:left="179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3C" w:rsidRDefault="00D11E3C">
      <w:r>
        <w:separator/>
      </w:r>
    </w:p>
  </w:endnote>
  <w:endnote w:type="continuationSeparator" w:id="0">
    <w:p w:rsidR="00D11E3C" w:rsidRDefault="00D1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aiandra GD">
    <w:panose1 w:val="020E05020303080202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9F" w:rsidRDefault="00D11E3C">
    <w:pPr>
      <w:pStyle w:val="a8"/>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379F" w:rsidRDefault="00D11E3C">
                          <w:pPr>
                            <w:pStyle w:val="a8"/>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379F" w:rsidRDefault="00D11E3C">
                    <w:pPr>
                      <w:pStyle w:val="a8"/>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9F" w:rsidRDefault="00D11E3C">
    <w:pPr>
      <w:tabs>
        <w:tab w:val="center" w:pos="4153"/>
        <w:tab w:val="right" w:pos="8306"/>
      </w:tabs>
      <w:snapToGrid w:val="0"/>
      <w:jc w:val="left"/>
      <w:rPr>
        <w:rFonts w:ascii="Calibri" w:eastAsia="宋体" w:hAnsi="Calibri" w:cs="Times New Roman"/>
        <w:sz w:val="18"/>
        <w:szCs w:val="18"/>
      </w:rPr>
    </w:pPr>
    <w:r>
      <w:rPr>
        <w:rFonts w:ascii="Calibri" w:eastAsia="宋体" w:hAnsi="Calibri" w:cs="Times New Roman"/>
        <w:noProof/>
        <w:sz w:val="18"/>
        <w:szCs w:val="18"/>
      </w:rPr>
      <mc:AlternateContent>
        <mc:Choice Requires="wps">
          <w:drawing>
            <wp:anchor distT="0" distB="0" distL="0" distR="0" simplePos="0" relativeHeight="251657728" behindDoc="0" locked="0" layoutInCell="0" allowOverlap="1">
              <wp:simplePos x="0" y="0"/>
              <wp:positionH relativeFrom="margin">
                <wp:posOffset>-407035</wp:posOffset>
              </wp:positionH>
              <wp:positionV relativeFrom="margin">
                <wp:posOffset>8919210</wp:posOffset>
              </wp:positionV>
              <wp:extent cx="6205220" cy="633095"/>
              <wp:effectExtent l="0" t="0" r="0" b="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633095"/>
                      </a:xfrm>
                      <a:prstGeom prst="rect">
                        <a:avLst/>
                      </a:prstGeom>
                      <a:noFill/>
                      <a:ln>
                        <a:noFill/>
                      </a:ln>
                      <a:effectLst/>
                    </wps:spPr>
                    <wps:txbx>
                      <w:txbxContent>
                        <w:p w:rsidR="0072379F" w:rsidRDefault="0072379F">
                          <w:pPr>
                            <w:tabs>
                              <w:tab w:val="center" w:pos="4153"/>
                              <w:tab w:val="right" w:pos="8306"/>
                            </w:tabs>
                            <w:snapToGrid w:val="0"/>
                            <w:ind w:firstLine="300"/>
                            <w:rPr>
                              <w:rFonts w:ascii="Maiandra GD" w:eastAsia="微软雅黑" w:hAnsi="微软雅黑" w:cs="Times New Roman"/>
                              <w:color w:val="000000"/>
                              <w:sz w:val="15"/>
                              <w:szCs w:val="15"/>
                              <w14:textFill>
                                <w14:solidFill>
                                  <w14:srgbClr w14:val="000000">
                                    <w14:lumMod w14:val="75000"/>
                                    <w14:lumOff w14:val="25000"/>
                                  </w14:srgbClr>
                                </w14:solidFill>
                              </w14:textFill>
                            </w:rPr>
                          </w:pPr>
                        </w:p>
                      </w:txbxContent>
                    </wps:txbx>
                    <wps:bodyPr rot="0" vert="horz" wrap="square" lIns="0" tIns="0" rIns="228600" bIns="0" anchor="t" anchorCtr="0" upright="1">
                      <a:spAutoFit/>
                    </wps:bodyPr>
                  </wps:wsp>
                </a:graphicData>
              </a:graphic>
            </wp:anchor>
          </w:drawing>
        </mc:Choice>
        <mc:Fallback xmlns:wpsCustomData="http://www.wps.cn/officeDocument/2013/wpsCustomData">
          <w:pict>
            <v:rect id="_x0000_s1026" o:spid="_x0000_s1026" o:spt="1" style="position:absolute;left:0pt;margin-left:-32.05pt;margin-top:702.3pt;height:49.85pt;width:488.6pt;mso-position-horizontal-relative:margin;mso-position-vertic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Kqgm2wAAAA0BAAAPAAAAAAAAAAEA&#10;IAAAACIAAABkcnMvZG93bnJldi54bWxQSwECFAAUAAAACACHTuJAu9urzwwCAAALBAAADgAAAAAA&#10;AAABACAAAAAqAQAAZHJzL2Uyb0RvYy54bWxQSwUGAAAAAAYABgBZAQAAqAUAAAAA&#10;">
              <v:fill on="f" focussize="0,0"/>
              <v:stroke on="f"/>
              <v:imagedata o:title=""/>
              <o:lock v:ext="edit" aspectratio="f"/>
              <v:textbox inset="0mm,0mm,6.35mm,0mm" style="mso-fit-shape-to-text:t;">
                <w:txbxContent>
                  <w:p w14:paraId="3504EFA2">
                    <w:pPr>
                      <w:widowControl w:val="0"/>
                      <w:tabs>
                        <w:tab w:val="center" w:pos="4153"/>
                        <w:tab w:val="right" w:pos="8306"/>
                      </w:tabs>
                      <w:snapToGrid w:val="0"/>
                      <w:ind w:firstLine="300"/>
                      <w:jc w:val="both"/>
                      <w:rPr>
                        <w:rFonts w:ascii="Maiandra GD" w:hAnsi="微软雅黑" w:eastAsia="微软雅黑" w:cs="Times New Roman"/>
                        <w:color w:val="000000"/>
                        <w:kern w:val="2"/>
                        <w:sz w:val="15"/>
                        <w:szCs w:val="15"/>
                        <w:lang w:val="en-US" w:eastAsia="zh-CN" w:bidi="ar-SA"/>
                        <w14:textFill>
                          <w14:solidFill>
                            <w14:srgbClr w14:val="000000">
                              <w14:lumMod w14:val="75000"/>
                              <w14:lumOff w14:val="25000"/>
                            </w14:srgbClr>
                          </w14:solidFill>
                        </w14:textFill>
                      </w:rPr>
                    </w:pPr>
                  </w:p>
                </w:txbxContent>
              </v:textbox>
              <w10:wrap type="square"/>
            </v:rect>
          </w:pict>
        </mc:Fallback>
      </mc:AlternateContent>
    </w:r>
  </w:p>
  <w:p w:rsidR="0072379F" w:rsidRDefault="0072379F">
    <w:pPr>
      <w:tabs>
        <w:tab w:val="center" w:pos="4153"/>
        <w:tab w:val="right" w:pos="8306"/>
      </w:tabs>
      <w:snapToGrid w:val="0"/>
      <w:jc w:val="left"/>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3C" w:rsidRDefault="00D11E3C">
      <w:r>
        <w:separator/>
      </w:r>
    </w:p>
  </w:footnote>
  <w:footnote w:type="continuationSeparator" w:id="0">
    <w:p w:rsidR="00D11E3C" w:rsidRDefault="00D1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9F" w:rsidRDefault="00D11E3C">
    <w:pPr>
      <w:pStyle w:val="aa"/>
    </w:pPr>
    <w:r>
      <w:rPr>
        <w:noProof/>
      </w:rPr>
      <w:drawing>
        <wp:anchor distT="0" distB="0" distL="114300" distR="114300" simplePos="0" relativeHeight="251656704" behindDoc="0" locked="0" layoutInCell="1" allowOverlap="1">
          <wp:simplePos x="0" y="0"/>
          <wp:positionH relativeFrom="column">
            <wp:posOffset>-1112520</wp:posOffset>
          </wp:positionH>
          <wp:positionV relativeFrom="paragraph">
            <wp:posOffset>-521335</wp:posOffset>
          </wp:positionV>
          <wp:extent cx="7529195" cy="1932940"/>
          <wp:effectExtent l="0" t="0" r="0" b="0"/>
          <wp:wrapNone/>
          <wp:docPr id="45887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35"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9429" cy="19331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FB0461"/>
    <w:rsid w:val="00015E1E"/>
    <w:rsid w:val="00067132"/>
    <w:rsid w:val="000A002F"/>
    <w:rsid w:val="000C4474"/>
    <w:rsid w:val="00121DD0"/>
    <w:rsid w:val="00132E7B"/>
    <w:rsid w:val="001A2E86"/>
    <w:rsid w:val="001C6CBB"/>
    <w:rsid w:val="001E06B4"/>
    <w:rsid w:val="00204A37"/>
    <w:rsid w:val="002353D2"/>
    <w:rsid w:val="00240BFC"/>
    <w:rsid w:val="00264F12"/>
    <w:rsid w:val="00291A2C"/>
    <w:rsid w:val="002A7E79"/>
    <w:rsid w:val="002D6017"/>
    <w:rsid w:val="00342C68"/>
    <w:rsid w:val="00343419"/>
    <w:rsid w:val="003A1249"/>
    <w:rsid w:val="003F76A3"/>
    <w:rsid w:val="00405858"/>
    <w:rsid w:val="00407D12"/>
    <w:rsid w:val="00414C00"/>
    <w:rsid w:val="0041539F"/>
    <w:rsid w:val="00427B4C"/>
    <w:rsid w:val="004339EE"/>
    <w:rsid w:val="00434ECA"/>
    <w:rsid w:val="00443E6C"/>
    <w:rsid w:val="0046668E"/>
    <w:rsid w:val="0047436B"/>
    <w:rsid w:val="00481278"/>
    <w:rsid w:val="00490C3E"/>
    <w:rsid w:val="004A6E07"/>
    <w:rsid w:val="004B47AF"/>
    <w:rsid w:val="004D5F56"/>
    <w:rsid w:val="004F56BB"/>
    <w:rsid w:val="00551DB3"/>
    <w:rsid w:val="0056174C"/>
    <w:rsid w:val="005A342F"/>
    <w:rsid w:val="005B7B0C"/>
    <w:rsid w:val="005E270A"/>
    <w:rsid w:val="006454F8"/>
    <w:rsid w:val="00670C84"/>
    <w:rsid w:val="006B7AEB"/>
    <w:rsid w:val="006B7DAE"/>
    <w:rsid w:val="006C1A7A"/>
    <w:rsid w:val="00711AE1"/>
    <w:rsid w:val="0072379F"/>
    <w:rsid w:val="0073370B"/>
    <w:rsid w:val="00762EA0"/>
    <w:rsid w:val="007831DE"/>
    <w:rsid w:val="007F2CAF"/>
    <w:rsid w:val="00815A2E"/>
    <w:rsid w:val="00824D33"/>
    <w:rsid w:val="0083342A"/>
    <w:rsid w:val="00851518"/>
    <w:rsid w:val="00862BA2"/>
    <w:rsid w:val="008B6E8C"/>
    <w:rsid w:val="008E2A0E"/>
    <w:rsid w:val="008F20E3"/>
    <w:rsid w:val="009065F1"/>
    <w:rsid w:val="0091128D"/>
    <w:rsid w:val="0093676E"/>
    <w:rsid w:val="00957ABA"/>
    <w:rsid w:val="00982642"/>
    <w:rsid w:val="009D11B6"/>
    <w:rsid w:val="009D5971"/>
    <w:rsid w:val="009F7AD4"/>
    <w:rsid w:val="00A1754E"/>
    <w:rsid w:val="00A317F5"/>
    <w:rsid w:val="00A35431"/>
    <w:rsid w:val="00A478E9"/>
    <w:rsid w:val="00AA3B68"/>
    <w:rsid w:val="00AC6F7D"/>
    <w:rsid w:val="00AD624D"/>
    <w:rsid w:val="00B017C4"/>
    <w:rsid w:val="00B72572"/>
    <w:rsid w:val="00BE648C"/>
    <w:rsid w:val="00BF721C"/>
    <w:rsid w:val="00C01AA6"/>
    <w:rsid w:val="00C21054"/>
    <w:rsid w:val="00C242AE"/>
    <w:rsid w:val="00C9247F"/>
    <w:rsid w:val="00CA43CE"/>
    <w:rsid w:val="00CD70DA"/>
    <w:rsid w:val="00D11E3C"/>
    <w:rsid w:val="00D2435F"/>
    <w:rsid w:val="00E457D1"/>
    <w:rsid w:val="00E645F8"/>
    <w:rsid w:val="00EB04F5"/>
    <w:rsid w:val="00ED6338"/>
    <w:rsid w:val="00F244AB"/>
    <w:rsid w:val="00F31BCE"/>
    <w:rsid w:val="00F36248"/>
    <w:rsid w:val="00F56F2F"/>
    <w:rsid w:val="00FB0461"/>
    <w:rsid w:val="00FB0E0B"/>
    <w:rsid w:val="00FF2672"/>
    <w:rsid w:val="01211AD4"/>
    <w:rsid w:val="029F0F02"/>
    <w:rsid w:val="057E6FDE"/>
    <w:rsid w:val="086504F8"/>
    <w:rsid w:val="08A059D4"/>
    <w:rsid w:val="0A8B31CC"/>
    <w:rsid w:val="100878A8"/>
    <w:rsid w:val="101F18D4"/>
    <w:rsid w:val="11561326"/>
    <w:rsid w:val="14467267"/>
    <w:rsid w:val="18784707"/>
    <w:rsid w:val="21871088"/>
    <w:rsid w:val="24D17434"/>
    <w:rsid w:val="27912C60"/>
    <w:rsid w:val="288325A9"/>
    <w:rsid w:val="2D872151"/>
    <w:rsid w:val="300264A9"/>
    <w:rsid w:val="3043237D"/>
    <w:rsid w:val="37A97B52"/>
    <w:rsid w:val="3A145757"/>
    <w:rsid w:val="3A946897"/>
    <w:rsid w:val="408B4299"/>
    <w:rsid w:val="42132798"/>
    <w:rsid w:val="43B43B06"/>
    <w:rsid w:val="447D214A"/>
    <w:rsid w:val="460A27D0"/>
    <w:rsid w:val="479C6E3B"/>
    <w:rsid w:val="4CBF493A"/>
    <w:rsid w:val="4F351F9F"/>
    <w:rsid w:val="4F9071D6"/>
    <w:rsid w:val="50106568"/>
    <w:rsid w:val="54C65448"/>
    <w:rsid w:val="556502F8"/>
    <w:rsid w:val="5C562A9A"/>
    <w:rsid w:val="5CFC0BDF"/>
    <w:rsid w:val="5D0B433F"/>
    <w:rsid w:val="65A45331"/>
    <w:rsid w:val="690A194F"/>
    <w:rsid w:val="6A3C64C7"/>
    <w:rsid w:val="6D0843F7"/>
    <w:rsid w:val="6D702997"/>
    <w:rsid w:val="6ED8429D"/>
    <w:rsid w:val="70207CAA"/>
    <w:rsid w:val="7C6D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855E6"/>
  <w15:docId w15:val="{996BCABA-495A-42F4-94F3-99763B9B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uiPriority w:val="99"/>
    <w:qFormat/>
    <w:pPr>
      <w:widowControl w:val="0"/>
      <w:ind w:firstLineChars="200" w:firstLine="420"/>
      <w:jc w:val="both"/>
    </w:pPr>
    <w:rPr>
      <w:kern w:val="2"/>
      <w:sz w:val="21"/>
      <w:szCs w:val="24"/>
    </w:rPr>
  </w:style>
  <w:style w:type="paragraph" w:styleId="a4">
    <w:name w:val="Plain Text"/>
    <w:next w:val="a5"/>
    <w:qFormat/>
    <w:pPr>
      <w:widowControl w:val="0"/>
      <w:jc w:val="both"/>
    </w:pPr>
    <w:rPr>
      <w:rFonts w:ascii="宋体" w:hAnsi="Courier New" w:cs="Courier New"/>
      <w:kern w:val="2"/>
      <w:sz w:val="21"/>
      <w:szCs w:val="21"/>
    </w:rPr>
  </w:style>
  <w:style w:type="paragraph" w:styleId="a5">
    <w:name w:val="Body Text"/>
    <w:next w:val="a6"/>
    <w:qFormat/>
    <w:pPr>
      <w:widowControl w:val="0"/>
      <w:spacing w:line="320" w:lineRule="exact"/>
      <w:jc w:val="both"/>
    </w:pPr>
    <w:rPr>
      <w:rFonts w:ascii="宋体" w:hAnsi="宋体"/>
      <w:sz w:val="30"/>
      <w:szCs w:val="24"/>
    </w:rPr>
  </w:style>
  <w:style w:type="paragraph" w:styleId="a6">
    <w:name w:val="Body Text Indent"/>
    <w:qFormat/>
    <w:pPr>
      <w:widowControl w:val="0"/>
      <w:spacing w:after="120"/>
      <w:ind w:leftChars="200" w:left="420"/>
      <w:jc w:val="both"/>
    </w:pPr>
    <w:rPr>
      <w:kern w:val="2"/>
      <w:sz w:val="21"/>
      <w:szCs w:val="24"/>
    </w:rPr>
  </w:style>
  <w:style w:type="paragraph" w:styleId="a7">
    <w:name w:val="annotation text"/>
    <w:basedOn w:val="a"/>
    <w:uiPriority w:val="99"/>
    <w:semiHidden/>
    <w:unhideWhenUsed/>
    <w:qFormat/>
    <w:pPr>
      <w:jc w:val="left"/>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1">
    <w:name w:val="toc 1"/>
    <w:basedOn w:val="a"/>
    <w:next w:val="a"/>
    <w:uiPriority w:val="39"/>
    <w:semiHidden/>
    <w:unhideWhenUsed/>
    <w:qFormat/>
  </w:style>
  <w:style w:type="paragraph" w:styleId="ac">
    <w:name w:val="Body Text First Indent"/>
    <w:uiPriority w:val="99"/>
    <w:unhideWhenUsed/>
    <w:qFormat/>
    <w:pPr>
      <w:widowControl w:val="0"/>
      <w:spacing w:line="320" w:lineRule="exact"/>
      <w:ind w:firstLineChars="100" w:firstLine="420"/>
      <w:jc w:val="both"/>
    </w:pPr>
    <w:rPr>
      <w:kern w:val="2"/>
      <w:sz w:val="21"/>
      <w:szCs w:val="24"/>
    </w:rPr>
  </w:style>
  <w:style w:type="table" w:styleId="a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e">
    <w:name w:val="Balloon Text"/>
    <w:basedOn w:val="a"/>
    <w:link w:val="af"/>
    <w:uiPriority w:val="99"/>
    <w:semiHidden/>
    <w:unhideWhenUsed/>
    <w:rsid w:val="00342C68"/>
    <w:rPr>
      <w:sz w:val="18"/>
      <w:szCs w:val="18"/>
    </w:rPr>
  </w:style>
  <w:style w:type="character" w:customStyle="1" w:styleId="af">
    <w:name w:val="批注框文本 字符"/>
    <w:basedOn w:val="a0"/>
    <w:link w:val="ae"/>
    <w:uiPriority w:val="99"/>
    <w:semiHidden/>
    <w:rsid w:val="00342C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780</Words>
  <Characters>4451</Characters>
  <Application>Microsoft Office Word</Application>
  <DocSecurity>0</DocSecurity>
  <Lines>37</Lines>
  <Paragraphs>10</Paragraphs>
  <ScaleCrop>false</ScaleCrop>
  <Company>Company</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lp</cp:lastModifiedBy>
  <cp:revision>44</cp:revision>
  <dcterms:created xsi:type="dcterms:W3CDTF">2024-06-26T08:17:00Z</dcterms:created>
  <dcterms:modified xsi:type="dcterms:W3CDTF">2025-05-22T09:29:00Z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eyJoZGlkIjoiMDU1NTYzMjc4ZDdlMzA2YmM5ZTQ5OTIwOGEyMzU0MDUiLCJ1c2VySWQiOiIzOTg5NDAzMzQifQ==</vt:lpwstr>
  </property>
  <property fmtid="{D5CDD505-2E9C-101B-9397-08002B2CF9AE}" pid="3" name="KSOProductBuildVer">
    <vt:lpwstr>2052-12.1.0.21171</vt:lpwstr>
  </property>
  <property fmtid="{D5CDD505-2E9C-101B-9397-08002B2CF9AE}" pid="4" name="ICV">
    <vt:lpwstr>76C46014FB194FB0A1EB13EC683D00F4_13</vt:lpwstr>
  </property>
</Properties>
</file>