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7C2" w:rsidRPr="00493A1E" w:rsidRDefault="00886FA6" w:rsidP="00112012">
      <w:pPr>
        <w:autoSpaceDE w:val="0"/>
        <w:autoSpaceDN w:val="0"/>
        <w:adjustRightInd w:val="0"/>
        <w:rPr>
          <w:rFonts w:ascii="Arial" w:eastAsiaTheme="minorEastAsia" w:hAnsi="Arial" w:cs="Arial"/>
          <w:kern w:val="0"/>
          <w:sz w:val="28"/>
          <w:szCs w:val="28"/>
        </w:rPr>
      </w:pPr>
      <w:bookmarkStart w:id="0" w:name="_Toc300000096"/>
      <w:bookmarkStart w:id="1" w:name="_Toc479287031"/>
      <w:r w:rsidRPr="00493A1E">
        <w:rPr>
          <w:rFonts w:ascii="Arial" w:eastAsiaTheme="minorEastAsia" w:hAnsi="Arial" w:cs="Arial"/>
          <w:kern w:val="0"/>
          <w:sz w:val="28"/>
          <w:szCs w:val="28"/>
        </w:rPr>
        <w:t>证券代码：</w:t>
      </w:r>
      <w:r w:rsidR="00A657C2" w:rsidRPr="00493A1E">
        <w:rPr>
          <w:rFonts w:ascii="Arial" w:eastAsiaTheme="minorEastAsia" w:hAnsi="Arial" w:cs="Arial"/>
          <w:kern w:val="0"/>
          <w:sz w:val="28"/>
          <w:szCs w:val="28"/>
        </w:rPr>
        <w:t xml:space="preserve">300402     </w:t>
      </w:r>
      <w:r w:rsidR="008B4DBD" w:rsidRPr="00493A1E">
        <w:rPr>
          <w:rFonts w:ascii="Arial" w:eastAsiaTheme="minorEastAsia" w:hAnsi="Arial" w:cs="Arial"/>
          <w:kern w:val="0"/>
          <w:sz w:val="28"/>
          <w:szCs w:val="28"/>
        </w:rPr>
        <w:t xml:space="preserve">    </w:t>
      </w:r>
      <w:r w:rsidR="00493A1E">
        <w:rPr>
          <w:rFonts w:ascii="Arial" w:eastAsiaTheme="minorEastAsia" w:hAnsi="Arial" w:cs="Arial"/>
          <w:kern w:val="0"/>
          <w:sz w:val="28"/>
          <w:szCs w:val="28"/>
        </w:rPr>
        <w:t xml:space="preserve"> </w:t>
      </w:r>
      <w:r w:rsidRPr="00493A1E">
        <w:rPr>
          <w:rFonts w:ascii="Arial" w:eastAsiaTheme="minorEastAsia" w:hAnsi="Arial" w:cs="Arial"/>
          <w:kern w:val="0"/>
          <w:sz w:val="28"/>
          <w:szCs w:val="28"/>
        </w:rPr>
        <w:t>证券简称：宝色股份</w:t>
      </w:r>
      <w:r w:rsidR="00493A1E">
        <w:rPr>
          <w:rFonts w:ascii="Arial" w:eastAsiaTheme="minorEastAsia" w:hAnsi="Arial" w:cs="Arial"/>
          <w:kern w:val="0"/>
          <w:sz w:val="28"/>
          <w:szCs w:val="28"/>
        </w:rPr>
        <w:t xml:space="preserve">      </w:t>
      </w:r>
      <w:r w:rsidR="00112012" w:rsidRPr="00493A1E">
        <w:rPr>
          <w:rFonts w:ascii="Arial" w:eastAsiaTheme="minorEastAsia" w:hAnsi="Arial" w:cs="Arial"/>
          <w:kern w:val="0"/>
          <w:sz w:val="28"/>
          <w:szCs w:val="28"/>
        </w:rPr>
        <w:t xml:space="preserve"> </w:t>
      </w:r>
      <w:r w:rsidRPr="00493A1E">
        <w:rPr>
          <w:rFonts w:ascii="Arial" w:eastAsiaTheme="minorEastAsia" w:hAnsi="Arial" w:cs="Arial"/>
          <w:kern w:val="0"/>
          <w:sz w:val="28"/>
          <w:szCs w:val="28"/>
        </w:rPr>
        <w:t>公告编号：</w:t>
      </w:r>
      <w:r w:rsidR="00E55F57" w:rsidRPr="00493A1E">
        <w:rPr>
          <w:rFonts w:ascii="Arial" w:eastAsiaTheme="minorEastAsia" w:hAnsi="Arial" w:cs="Arial"/>
          <w:kern w:val="0"/>
          <w:sz w:val="28"/>
          <w:szCs w:val="28"/>
        </w:rPr>
        <w:t>202</w:t>
      </w:r>
      <w:r w:rsidR="008B4DBD" w:rsidRPr="00493A1E">
        <w:rPr>
          <w:rFonts w:ascii="Arial" w:eastAsiaTheme="minorEastAsia" w:hAnsi="Arial" w:cs="Arial"/>
          <w:kern w:val="0"/>
          <w:sz w:val="28"/>
          <w:szCs w:val="28"/>
        </w:rPr>
        <w:t>5</w:t>
      </w:r>
      <w:r w:rsidR="00A657C2" w:rsidRPr="00493A1E">
        <w:rPr>
          <w:rFonts w:ascii="Arial" w:eastAsiaTheme="minorEastAsia" w:hAnsi="Arial" w:cs="Arial"/>
          <w:kern w:val="0"/>
          <w:sz w:val="28"/>
          <w:szCs w:val="28"/>
        </w:rPr>
        <w:t>-</w:t>
      </w:r>
      <w:r w:rsidR="008B4DBD" w:rsidRPr="00493A1E">
        <w:rPr>
          <w:rFonts w:ascii="Arial" w:eastAsiaTheme="minorEastAsia" w:hAnsi="Arial" w:cs="Arial"/>
          <w:kern w:val="0"/>
          <w:sz w:val="28"/>
          <w:szCs w:val="28"/>
        </w:rPr>
        <w:t>012</w:t>
      </w:r>
    </w:p>
    <w:bookmarkEnd w:id="0"/>
    <w:p w:rsidR="00A657C2" w:rsidRPr="00112012" w:rsidRDefault="00886FA6" w:rsidP="00E06F28">
      <w:pPr>
        <w:spacing w:beforeLines="50" w:before="156" w:after="0"/>
        <w:jc w:val="center"/>
        <w:rPr>
          <w:rFonts w:ascii="Arial" w:eastAsiaTheme="minorEastAsia" w:hAnsi="Arial" w:cs="Arial"/>
          <w:b/>
          <w:sz w:val="30"/>
          <w:szCs w:val="30"/>
        </w:rPr>
      </w:pPr>
      <w:r w:rsidRPr="00112012">
        <w:rPr>
          <w:rFonts w:ascii="Arial" w:eastAsiaTheme="minorEastAsia" w:hAnsi="Arial" w:cs="Arial"/>
          <w:b/>
          <w:sz w:val="30"/>
          <w:szCs w:val="30"/>
        </w:rPr>
        <w:t>南京宝色股份公司</w:t>
      </w:r>
      <w:r w:rsidR="00C66CE8" w:rsidRPr="00112012">
        <w:rPr>
          <w:rFonts w:ascii="Arial" w:eastAsiaTheme="minorEastAsia" w:hAnsi="Arial" w:cs="Arial"/>
          <w:b/>
          <w:sz w:val="30"/>
          <w:szCs w:val="30"/>
        </w:rPr>
        <w:t>202</w:t>
      </w:r>
      <w:r w:rsidR="008B4DBD" w:rsidRPr="00112012">
        <w:rPr>
          <w:rFonts w:ascii="Arial" w:eastAsiaTheme="minorEastAsia" w:hAnsi="Arial" w:cs="Arial"/>
          <w:b/>
          <w:sz w:val="30"/>
          <w:szCs w:val="30"/>
        </w:rPr>
        <w:t>4</w:t>
      </w:r>
      <w:r w:rsidRPr="00112012">
        <w:rPr>
          <w:rFonts w:ascii="Arial" w:eastAsiaTheme="minorEastAsia" w:hAnsi="Arial" w:cs="Arial"/>
          <w:b/>
          <w:sz w:val="30"/>
          <w:szCs w:val="30"/>
        </w:rPr>
        <w:t>年年度报告摘要</w:t>
      </w:r>
    </w:p>
    <w:bookmarkEnd w:id="1"/>
    <w:p w:rsidR="00A657C2" w:rsidRPr="00090FC7" w:rsidRDefault="00A657C2" w:rsidP="00ED7CBC">
      <w:pPr>
        <w:spacing w:before="120" w:after="120" w:line="360" w:lineRule="auto"/>
        <w:outlineLvl w:val="1"/>
        <w:rPr>
          <w:rFonts w:ascii="Arial" w:hAnsi="Arial" w:cs="Arial"/>
          <w:b/>
          <w:sz w:val="24"/>
          <w:szCs w:val="24"/>
        </w:rPr>
      </w:pPr>
      <w:r w:rsidRPr="00090FC7">
        <w:rPr>
          <w:rFonts w:ascii="Arial" w:hAnsi="Arial" w:cs="Arial" w:hint="eastAsia"/>
          <w:b/>
          <w:sz w:val="24"/>
          <w:szCs w:val="24"/>
        </w:rPr>
        <w:t>一、重要提示</w:t>
      </w:r>
    </w:p>
    <w:p w:rsidR="00903B46" w:rsidRPr="00903B46" w:rsidRDefault="00903B46" w:rsidP="00903B46">
      <w:pPr>
        <w:spacing w:line="324" w:lineRule="auto"/>
        <w:rPr>
          <w:rFonts w:ascii="Arial" w:hAnsi="Arial" w:cs="Arial"/>
          <w:sz w:val="21"/>
          <w:szCs w:val="21"/>
        </w:rPr>
      </w:pPr>
      <w:r w:rsidRPr="00903B46">
        <w:rPr>
          <w:rFonts w:ascii="Arial" w:hAnsi="Arial" w:cs="Arial" w:hint="eastAsia"/>
          <w:sz w:val="21"/>
          <w:szCs w:val="21"/>
        </w:rPr>
        <w:t>本年度报告摘要来自年度报告全文，为全面了解本公司的经营成果、财务状况及未来发展规划，投资者应当到证监会指定媒体仔细阅读年度报告全文。</w:t>
      </w:r>
    </w:p>
    <w:p w:rsidR="00903B46" w:rsidRPr="00903B46" w:rsidRDefault="00903B46" w:rsidP="00903B46">
      <w:pPr>
        <w:spacing w:line="324" w:lineRule="auto"/>
        <w:rPr>
          <w:rFonts w:ascii="Arial" w:hAnsi="Arial" w:cs="Arial"/>
          <w:sz w:val="21"/>
          <w:szCs w:val="21"/>
        </w:rPr>
      </w:pPr>
      <w:r w:rsidRPr="00903B46">
        <w:rPr>
          <w:rFonts w:ascii="Arial" w:hAnsi="Arial" w:cs="Arial" w:hint="eastAsia"/>
          <w:sz w:val="21"/>
          <w:szCs w:val="21"/>
        </w:rPr>
        <w:t>所有董事均已出席了审议本报告的董事会会议。</w:t>
      </w:r>
    </w:p>
    <w:p w:rsidR="00A657C2" w:rsidRPr="00090FC7" w:rsidRDefault="008B4DBD" w:rsidP="00903B46">
      <w:pPr>
        <w:spacing w:line="324" w:lineRule="auto"/>
        <w:rPr>
          <w:rFonts w:ascii="Arial" w:hAnsi="Arial" w:cs="Arial"/>
          <w:sz w:val="21"/>
          <w:szCs w:val="21"/>
        </w:rPr>
      </w:pPr>
      <w:r>
        <w:rPr>
          <w:rFonts w:ascii="Arial" w:hAnsi="Arial" w:cs="Arial" w:hint="eastAsia"/>
          <w:sz w:val="21"/>
          <w:szCs w:val="21"/>
        </w:rPr>
        <w:t>希格玛</w:t>
      </w:r>
      <w:r w:rsidR="00A657C2" w:rsidRPr="00090FC7">
        <w:rPr>
          <w:rFonts w:ascii="Arial" w:hAnsi="Arial" w:cs="Arial"/>
          <w:sz w:val="21"/>
          <w:szCs w:val="21"/>
        </w:rPr>
        <w:t>会计师事务所（特殊普通合伙）对本年度公司财务报告的审计意见为：标准的无保留意见。</w:t>
      </w:r>
    </w:p>
    <w:p w:rsidR="00A657C2" w:rsidRPr="00090FC7" w:rsidRDefault="00A657C2" w:rsidP="00903B46">
      <w:pPr>
        <w:spacing w:line="324" w:lineRule="auto"/>
        <w:rPr>
          <w:rFonts w:ascii="Arial" w:hAnsi="Arial" w:cs="Arial"/>
          <w:sz w:val="21"/>
          <w:szCs w:val="21"/>
        </w:rPr>
      </w:pPr>
      <w:r w:rsidRPr="00090FC7">
        <w:rPr>
          <w:rFonts w:ascii="Arial" w:hAnsi="Arial" w:cs="Arial"/>
          <w:sz w:val="21"/>
          <w:szCs w:val="21"/>
        </w:rPr>
        <w:t>本报告期会计师事务所变更情况：</w:t>
      </w:r>
      <w:r w:rsidR="00600C98" w:rsidRPr="00090FC7">
        <w:rPr>
          <w:rFonts w:ascii="Arial" w:hAnsi="Arial" w:cs="Arial" w:hint="eastAsia"/>
          <w:sz w:val="21"/>
          <w:szCs w:val="21"/>
        </w:rPr>
        <w:t>公司本年度会计师事务所为</w:t>
      </w:r>
      <w:r w:rsidR="008B4DBD">
        <w:rPr>
          <w:rFonts w:ascii="Arial" w:hAnsi="Arial" w:cs="Arial" w:hint="eastAsia"/>
          <w:sz w:val="21"/>
          <w:szCs w:val="21"/>
        </w:rPr>
        <w:t>希格玛</w:t>
      </w:r>
      <w:r w:rsidR="00600C98" w:rsidRPr="00090FC7">
        <w:rPr>
          <w:rFonts w:ascii="Arial" w:hAnsi="Arial" w:cs="Arial" w:hint="eastAsia"/>
          <w:sz w:val="21"/>
          <w:szCs w:val="21"/>
        </w:rPr>
        <w:t>会计师事务所（特殊普通合伙）。</w:t>
      </w:r>
    </w:p>
    <w:p w:rsidR="00A657C2" w:rsidRPr="00090FC7" w:rsidRDefault="00A657C2" w:rsidP="00903B46">
      <w:pPr>
        <w:spacing w:line="324" w:lineRule="auto"/>
        <w:rPr>
          <w:rFonts w:ascii="Arial" w:hAnsi="Arial" w:cs="Arial"/>
          <w:sz w:val="21"/>
          <w:szCs w:val="21"/>
        </w:rPr>
      </w:pPr>
      <w:r w:rsidRPr="00090FC7">
        <w:rPr>
          <w:rFonts w:ascii="Arial" w:hAnsi="Arial" w:cs="Arial"/>
          <w:sz w:val="21"/>
          <w:szCs w:val="21"/>
        </w:rPr>
        <w:t>非标准审计意见提示</w:t>
      </w:r>
    </w:p>
    <w:p w:rsidR="00207922" w:rsidRPr="00207922" w:rsidRDefault="00207922" w:rsidP="00903B46">
      <w:pPr>
        <w:spacing w:line="324" w:lineRule="auto"/>
        <w:rPr>
          <w:rFonts w:ascii="宋体" w:hAnsi="宋体" w:cs="宋体"/>
          <w:sz w:val="21"/>
          <w:szCs w:val="21"/>
        </w:rPr>
      </w:pPr>
      <w:r w:rsidRPr="00207922">
        <w:rPr>
          <w:rFonts w:ascii="宋体" w:hAnsi="宋体" w:cs="宋体"/>
          <w:sz w:val="21"/>
          <w:szCs w:val="21"/>
        </w:rPr>
        <w:t xml:space="preserve">□适用 </w:t>
      </w:r>
      <w:r w:rsidRPr="00207922">
        <w:rPr>
          <w:rFonts w:ascii="宋体" w:hAnsi="宋体" w:cs="宋体"/>
          <w:sz w:val="21"/>
          <w:szCs w:val="21"/>
        </w:rPr>
        <w:sym w:font="Wingdings 2" w:char="F052"/>
      </w:r>
      <w:r w:rsidRPr="00207922">
        <w:rPr>
          <w:rFonts w:ascii="宋体" w:hAnsi="宋体" w:cs="宋体"/>
          <w:sz w:val="21"/>
          <w:szCs w:val="21"/>
        </w:rPr>
        <w:t>不适用</w:t>
      </w:r>
    </w:p>
    <w:p w:rsidR="00CC3C98" w:rsidRPr="00CC3C98" w:rsidRDefault="00CC3C98" w:rsidP="00903B46">
      <w:pPr>
        <w:spacing w:line="324" w:lineRule="auto"/>
        <w:rPr>
          <w:rFonts w:ascii="Arial" w:hAnsi="Arial" w:cs="Arial"/>
          <w:sz w:val="21"/>
          <w:szCs w:val="21"/>
        </w:rPr>
      </w:pPr>
      <w:r w:rsidRPr="00CC3C98">
        <w:rPr>
          <w:rFonts w:ascii="Arial" w:hAnsi="Arial" w:cs="Arial"/>
          <w:sz w:val="21"/>
          <w:szCs w:val="21"/>
        </w:rPr>
        <w:t>公司上市时未盈利且目前未实现盈利</w:t>
      </w:r>
    </w:p>
    <w:p w:rsidR="00207922" w:rsidRPr="00207922" w:rsidRDefault="00207922" w:rsidP="00903B46">
      <w:pPr>
        <w:spacing w:line="324" w:lineRule="auto"/>
        <w:rPr>
          <w:rFonts w:ascii="宋体" w:hAnsi="宋体" w:cs="宋体"/>
          <w:sz w:val="21"/>
          <w:szCs w:val="21"/>
        </w:rPr>
      </w:pPr>
      <w:r w:rsidRPr="00207922">
        <w:rPr>
          <w:rFonts w:ascii="宋体" w:hAnsi="宋体" w:cs="宋体"/>
          <w:sz w:val="21"/>
          <w:szCs w:val="21"/>
        </w:rPr>
        <w:t xml:space="preserve">□适用 </w:t>
      </w:r>
      <w:r w:rsidRPr="00207922">
        <w:rPr>
          <w:rFonts w:ascii="宋体" w:hAnsi="宋体" w:cs="宋体"/>
          <w:sz w:val="21"/>
          <w:szCs w:val="21"/>
        </w:rPr>
        <w:sym w:font="Wingdings 2" w:char="F052"/>
      </w:r>
      <w:r w:rsidRPr="00207922">
        <w:rPr>
          <w:rFonts w:ascii="宋体" w:hAnsi="宋体" w:cs="宋体"/>
          <w:sz w:val="21"/>
          <w:szCs w:val="21"/>
        </w:rPr>
        <w:t>不适用</w:t>
      </w:r>
    </w:p>
    <w:p w:rsidR="00A657C2" w:rsidRPr="00090FC7" w:rsidRDefault="00A657C2" w:rsidP="00903B46">
      <w:pPr>
        <w:spacing w:line="324" w:lineRule="auto"/>
        <w:rPr>
          <w:rFonts w:ascii="Arial" w:hAnsi="Arial" w:cs="Arial"/>
          <w:sz w:val="21"/>
          <w:szCs w:val="21"/>
        </w:rPr>
      </w:pPr>
      <w:r w:rsidRPr="00090FC7">
        <w:rPr>
          <w:rFonts w:ascii="Arial" w:hAnsi="Arial" w:cs="Arial"/>
          <w:sz w:val="21"/>
          <w:szCs w:val="21"/>
        </w:rPr>
        <w:t>董事会审议的报告期普通股利润分配预案或公积金转增股本预案</w:t>
      </w:r>
    </w:p>
    <w:p w:rsidR="00207922" w:rsidRPr="00207922" w:rsidRDefault="00207922" w:rsidP="00903B46">
      <w:pPr>
        <w:spacing w:line="324" w:lineRule="auto"/>
        <w:rPr>
          <w:rFonts w:ascii="宋体" w:hAnsi="宋体" w:cs="宋体"/>
          <w:sz w:val="21"/>
          <w:szCs w:val="21"/>
        </w:rPr>
      </w:pPr>
      <w:r w:rsidRPr="00207922">
        <w:rPr>
          <w:rFonts w:ascii="宋体" w:hAnsi="宋体" w:cs="宋体"/>
          <w:sz w:val="21"/>
          <w:szCs w:val="21"/>
        </w:rPr>
        <w:sym w:font="Wingdings 2" w:char="F052"/>
      </w:r>
      <w:r w:rsidRPr="00207922">
        <w:rPr>
          <w:rFonts w:ascii="宋体" w:hAnsi="宋体" w:cs="宋体"/>
          <w:sz w:val="21"/>
          <w:szCs w:val="21"/>
        </w:rPr>
        <w:t>适用 □不适用</w:t>
      </w:r>
    </w:p>
    <w:p w:rsidR="00A657C2" w:rsidRPr="00090FC7" w:rsidRDefault="00A657C2" w:rsidP="00903B46">
      <w:pPr>
        <w:spacing w:line="324" w:lineRule="auto"/>
        <w:rPr>
          <w:rFonts w:ascii="Arial" w:hAnsi="Arial" w:cs="Arial"/>
          <w:sz w:val="21"/>
          <w:szCs w:val="21"/>
        </w:rPr>
      </w:pPr>
      <w:r w:rsidRPr="00AD40F4">
        <w:rPr>
          <w:rFonts w:ascii="Arial" w:hAnsi="Arial" w:cs="Arial"/>
          <w:sz w:val="21"/>
          <w:szCs w:val="21"/>
        </w:rPr>
        <w:t>公司经本次董事会审议通过的普通股利润分配预案为：</w:t>
      </w:r>
      <w:r w:rsidRPr="008F2365">
        <w:rPr>
          <w:rFonts w:ascii="Arial" w:hAnsi="Arial" w:cs="Arial"/>
          <w:sz w:val="21"/>
          <w:szCs w:val="21"/>
        </w:rPr>
        <w:t>以</w:t>
      </w:r>
      <w:r w:rsidR="008B4DBD" w:rsidRPr="008B4DBD">
        <w:rPr>
          <w:rFonts w:ascii="Arial" w:hAnsi="Arial" w:cs="Arial"/>
          <w:sz w:val="21"/>
          <w:szCs w:val="21"/>
        </w:rPr>
        <w:t>246,790,497</w:t>
      </w:r>
      <w:r w:rsidRPr="008F2365">
        <w:rPr>
          <w:rFonts w:ascii="Arial" w:hAnsi="Arial" w:cs="Arial"/>
          <w:sz w:val="21"/>
          <w:szCs w:val="21"/>
        </w:rPr>
        <w:t>为基数，</w:t>
      </w:r>
      <w:r w:rsidR="00886FA6" w:rsidRPr="008F2365">
        <w:rPr>
          <w:rFonts w:ascii="Arial" w:hAnsi="Arial" w:cs="Arial" w:hint="eastAsia"/>
          <w:sz w:val="21"/>
          <w:szCs w:val="21"/>
        </w:rPr>
        <w:t>向</w:t>
      </w:r>
      <w:r w:rsidR="008E5252" w:rsidRPr="008F2365">
        <w:rPr>
          <w:rFonts w:ascii="Arial" w:hAnsi="Arial" w:cs="Arial" w:hint="eastAsia"/>
          <w:sz w:val="21"/>
          <w:szCs w:val="21"/>
        </w:rPr>
        <w:t>全体股东每</w:t>
      </w:r>
      <w:r w:rsidR="008E5252" w:rsidRPr="008F2365">
        <w:rPr>
          <w:rFonts w:ascii="Arial" w:hAnsi="Arial" w:cs="Arial"/>
          <w:sz w:val="21"/>
          <w:szCs w:val="21"/>
        </w:rPr>
        <w:t>10</w:t>
      </w:r>
      <w:r w:rsidR="008E5252" w:rsidRPr="008F2365">
        <w:rPr>
          <w:rFonts w:ascii="Arial" w:hAnsi="Arial" w:cs="Arial" w:hint="eastAsia"/>
          <w:sz w:val="21"/>
          <w:szCs w:val="21"/>
        </w:rPr>
        <w:t>股派发现金红利</w:t>
      </w:r>
      <w:r w:rsidR="008B4DBD">
        <w:rPr>
          <w:rFonts w:ascii="Arial" w:hAnsi="Arial" w:cs="Arial" w:hint="eastAsia"/>
          <w:sz w:val="21"/>
          <w:szCs w:val="21"/>
        </w:rPr>
        <w:t>0.90</w:t>
      </w:r>
      <w:r w:rsidR="008E5252" w:rsidRPr="008F2365">
        <w:rPr>
          <w:rFonts w:ascii="Arial" w:hAnsi="Arial" w:cs="Arial" w:hint="eastAsia"/>
          <w:sz w:val="21"/>
          <w:szCs w:val="21"/>
        </w:rPr>
        <w:t>元（含税），送红股</w:t>
      </w:r>
      <w:r w:rsidR="008E5252" w:rsidRPr="008F2365">
        <w:rPr>
          <w:rFonts w:ascii="Arial" w:hAnsi="Arial" w:cs="Arial"/>
          <w:sz w:val="21"/>
          <w:szCs w:val="21"/>
        </w:rPr>
        <w:t>0</w:t>
      </w:r>
      <w:r w:rsidR="008E5252" w:rsidRPr="008F2365">
        <w:rPr>
          <w:rFonts w:ascii="Arial" w:hAnsi="Arial" w:cs="Arial" w:hint="eastAsia"/>
          <w:sz w:val="21"/>
          <w:szCs w:val="21"/>
        </w:rPr>
        <w:t>股（含税），以资本公积金向全体股东每</w:t>
      </w:r>
      <w:r w:rsidR="008E5252" w:rsidRPr="008F2365">
        <w:rPr>
          <w:rFonts w:ascii="Arial" w:hAnsi="Arial" w:cs="Arial"/>
          <w:sz w:val="21"/>
          <w:szCs w:val="21"/>
        </w:rPr>
        <w:t>10</w:t>
      </w:r>
      <w:r w:rsidR="008E5252" w:rsidRPr="008F2365">
        <w:rPr>
          <w:rFonts w:ascii="Arial" w:hAnsi="Arial" w:cs="Arial" w:hint="eastAsia"/>
          <w:sz w:val="21"/>
          <w:szCs w:val="21"/>
        </w:rPr>
        <w:t>股转增</w:t>
      </w:r>
      <w:r w:rsidR="008E5252" w:rsidRPr="008F2365">
        <w:rPr>
          <w:rFonts w:ascii="Arial" w:hAnsi="Arial" w:cs="Arial"/>
          <w:sz w:val="21"/>
          <w:szCs w:val="21"/>
        </w:rPr>
        <w:t>0</w:t>
      </w:r>
      <w:r w:rsidR="008E5252" w:rsidRPr="008F2365">
        <w:rPr>
          <w:rFonts w:ascii="Arial" w:hAnsi="Arial" w:cs="Arial" w:hint="eastAsia"/>
          <w:sz w:val="21"/>
          <w:szCs w:val="21"/>
        </w:rPr>
        <w:t>股。</w:t>
      </w:r>
    </w:p>
    <w:p w:rsidR="00A657C2" w:rsidRPr="00090FC7" w:rsidRDefault="00A657C2" w:rsidP="00903B46">
      <w:pPr>
        <w:spacing w:line="324" w:lineRule="auto"/>
        <w:rPr>
          <w:rFonts w:ascii="Arial" w:hAnsi="Arial" w:cs="Arial"/>
          <w:sz w:val="21"/>
          <w:szCs w:val="21"/>
        </w:rPr>
      </w:pPr>
      <w:r w:rsidRPr="00090FC7">
        <w:rPr>
          <w:rFonts w:ascii="Arial" w:hAnsi="Arial" w:cs="Arial"/>
          <w:sz w:val="21"/>
          <w:szCs w:val="21"/>
        </w:rPr>
        <w:t>董事会决议通过的本报告期优先股利润分配预案</w:t>
      </w:r>
    </w:p>
    <w:p w:rsidR="00207922" w:rsidRPr="00207922" w:rsidRDefault="00207922" w:rsidP="00903B46">
      <w:pPr>
        <w:spacing w:line="324" w:lineRule="auto"/>
        <w:rPr>
          <w:rFonts w:ascii="宋体" w:hAnsi="宋体" w:cs="宋体"/>
          <w:sz w:val="21"/>
          <w:szCs w:val="21"/>
        </w:rPr>
      </w:pPr>
      <w:r w:rsidRPr="00207922">
        <w:rPr>
          <w:rFonts w:ascii="宋体" w:hAnsi="宋体" w:cs="宋体"/>
          <w:sz w:val="21"/>
          <w:szCs w:val="21"/>
        </w:rPr>
        <w:t xml:space="preserve">□适用 </w:t>
      </w:r>
      <w:r w:rsidRPr="00207922">
        <w:rPr>
          <w:rFonts w:ascii="宋体" w:hAnsi="宋体" w:cs="宋体"/>
          <w:sz w:val="21"/>
          <w:szCs w:val="21"/>
        </w:rPr>
        <w:sym w:font="Wingdings 2" w:char="F052"/>
      </w:r>
      <w:r w:rsidRPr="00207922">
        <w:rPr>
          <w:rFonts w:ascii="宋体" w:hAnsi="宋体" w:cs="宋体"/>
          <w:sz w:val="21"/>
          <w:szCs w:val="21"/>
        </w:rPr>
        <w:t>不适用</w:t>
      </w:r>
    </w:p>
    <w:p w:rsidR="00A657C2" w:rsidRPr="00090FC7" w:rsidRDefault="00A657C2" w:rsidP="00ED7CBC">
      <w:pPr>
        <w:spacing w:before="120" w:line="360" w:lineRule="auto"/>
        <w:outlineLvl w:val="1"/>
        <w:rPr>
          <w:rFonts w:ascii="Arial" w:hAnsi="Arial" w:cs="Arial"/>
          <w:b/>
          <w:sz w:val="24"/>
          <w:szCs w:val="24"/>
        </w:rPr>
      </w:pPr>
      <w:r w:rsidRPr="00090FC7">
        <w:rPr>
          <w:rFonts w:ascii="Arial" w:hAnsi="Arial" w:cs="Arial" w:hint="eastAsia"/>
          <w:b/>
          <w:sz w:val="24"/>
          <w:szCs w:val="24"/>
        </w:rPr>
        <w:t>二、公司基本情况</w:t>
      </w:r>
    </w:p>
    <w:p w:rsidR="00A657C2" w:rsidRDefault="00A657C2" w:rsidP="00D27ADC">
      <w:pPr>
        <w:spacing w:line="360" w:lineRule="auto"/>
        <w:outlineLvl w:val="2"/>
        <w:rPr>
          <w:rFonts w:ascii="Arial" w:hAnsi="Arial" w:cs="Arial"/>
          <w:b/>
          <w:sz w:val="21"/>
          <w:szCs w:val="21"/>
        </w:rPr>
      </w:pPr>
      <w:r w:rsidRPr="00090FC7">
        <w:rPr>
          <w:rFonts w:ascii="Arial" w:hAnsi="Arial" w:cs="Arial"/>
          <w:b/>
          <w:sz w:val="21"/>
          <w:szCs w:val="21"/>
        </w:rPr>
        <w:t>1</w:t>
      </w:r>
      <w:r w:rsidRPr="00090FC7">
        <w:rPr>
          <w:rFonts w:ascii="Arial" w:hAnsi="Arial" w:cs="Arial" w:hint="eastAsia"/>
          <w:b/>
          <w:sz w:val="21"/>
          <w:szCs w:val="21"/>
        </w:rPr>
        <w:t>、公司简介</w:t>
      </w:r>
    </w:p>
    <w:tbl>
      <w:tblPr>
        <w:tblW w:w="0" w:type="auto"/>
        <w:tblInd w:w="28" w:type="dxa"/>
        <w:tblLayout w:type="fixed"/>
        <w:tblCellMar>
          <w:left w:w="28" w:type="dxa"/>
          <w:right w:w="28" w:type="dxa"/>
        </w:tblCellMar>
        <w:tblLook w:val="0000" w:firstRow="0" w:lastRow="0" w:firstColumn="0" w:lastColumn="0" w:noHBand="0" w:noVBand="0"/>
      </w:tblPr>
      <w:tblGrid>
        <w:gridCol w:w="2268"/>
        <w:gridCol w:w="2823"/>
        <w:gridCol w:w="863"/>
        <w:gridCol w:w="1314"/>
        <w:gridCol w:w="2299"/>
      </w:tblGrid>
      <w:tr w:rsidR="00A657C2" w:rsidRPr="00090FC7" w:rsidTr="008B4DBD">
        <w:tc>
          <w:tcPr>
            <w:tcW w:w="2268" w:type="dxa"/>
            <w:tcBorders>
              <w:top w:val="single" w:sz="4" w:space="0" w:color="auto"/>
              <w:left w:val="single" w:sz="4" w:space="0" w:color="auto"/>
              <w:bottom w:val="single" w:sz="4" w:space="0" w:color="auto"/>
              <w:right w:val="single" w:sz="4" w:space="0" w:color="auto"/>
            </w:tcBorders>
            <w:shd w:val="clear" w:color="auto" w:fill="D3D3D3"/>
            <w:vAlign w:val="center"/>
          </w:tcPr>
          <w:p w:rsidR="00A657C2" w:rsidRPr="00090FC7" w:rsidRDefault="00A657C2" w:rsidP="00207922">
            <w:pPr>
              <w:rPr>
                <w:rFonts w:ascii="Arial" w:hAnsi="Arial" w:cs="Arial"/>
              </w:rPr>
            </w:pPr>
            <w:r w:rsidRPr="00090FC7">
              <w:rPr>
                <w:rFonts w:ascii="Arial" w:hAnsi="Arial" w:cs="Arial"/>
              </w:rPr>
              <w:t>股票简称</w:t>
            </w:r>
          </w:p>
        </w:tc>
        <w:tc>
          <w:tcPr>
            <w:tcW w:w="2823" w:type="dxa"/>
            <w:tcBorders>
              <w:top w:val="single" w:sz="4" w:space="0" w:color="auto"/>
              <w:left w:val="single" w:sz="4" w:space="0" w:color="auto"/>
              <w:bottom w:val="single" w:sz="4" w:space="0" w:color="auto"/>
              <w:right w:val="single" w:sz="4" w:space="0" w:color="auto"/>
            </w:tcBorders>
            <w:vAlign w:val="center"/>
          </w:tcPr>
          <w:p w:rsidR="00A657C2" w:rsidRPr="00090FC7" w:rsidRDefault="00A657C2" w:rsidP="00207922">
            <w:pPr>
              <w:rPr>
                <w:rFonts w:ascii="Arial" w:hAnsi="Arial" w:cs="Arial"/>
              </w:rPr>
            </w:pPr>
            <w:r w:rsidRPr="00090FC7">
              <w:rPr>
                <w:rFonts w:ascii="Arial" w:hAnsi="Arial" w:cs="Arial"/>
              </w:rPr>
              <w:t>宝色股份</w:t>
            </w:r>
          </w:p>
        </w:tc>
        <w:tc>
          <w:tcPr>
            <w:tcW w:w="2177"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A657C2" w:rsidRPr="00090FC7" w:rsidRDefault="00A657C2" w:rsidP="00207922">
            <w:pPr>
              <w:rPr>
                <w:rFonts w:ascii="Arial" w:hAnsi="Arial" w:cs="Arial"/>
              </w:rPr>
            </w:pPr>
            <w:r w:rsidRPr="00090FC7">
              <w:rPr>
                <w:rFonts w:ascii="Arial" w:hAnsi="Arial" w:cs="Arial"/>
              </w:rPr>
              <w:t>股票代码</w:t>
            </w:r>
          </w:p>
        </w:tc>
        <w:tc>
          <w:tcPr>
            <w:tcW w:w="2299" w:type="dxa"/>
            <w:tcBorders>
              <w:top w:val="single" w:sz="4" w:space="0" w:color="auto"/>
              <w:left w:val="single" w:sz="4" w:space="0" w:color="auto"/>
              <w:bottom w:val="single" w:sz="4" w:space="0" w:color="auto"/>
              <w:right w:val="single" w:sz="4" w:space="0" w:color="auto"/>
            </w:tcBorders>
            <w:vAlign w:val="center"/>
          </w:tcPr>
          <w:p w:rsidR="00A657C2" w:rsidRPr="00090FC7" w:rsidRDefault="00A657C2" w:rsidP="00207922">
            <w:pPr>
              <w:rPr>
                <w:rFonts w:ascii="Arial" w:hAnsi="Arial" w:cs="Arial"/>
              </w:rPr>
            </w:pPr>
            <w:r w:rsidRPr="00090FC7">
              <w:rPr>
                <w:rFonts w:ascii="Arial" w:hAnsi="Arial" w:cs="Arial"/>
              </w:rPr>
              <w:t>300402</w:t>
            </w:r>
          </w:p>
        </w:tc>
      </w:tr>
      <w:tr w:rsidR="00A657C2" w:rsidRPr="00090FC7" w:rsidTr="008B4DBD">
        <w:tc>
          <w:tcPr>
            <w:tcW w:w="2268" w:type="dxa"/>
            <w:tcBorders>
              <w:top w:val="single" w:sz="4" w:space="0" w:color="auto"/>
              <w:left w:val="single" w:sz="4" w:space="0" w:color="auto"/>
              <w:bottom w:val="single" w:sz="4" w:space="0" w:color="auto"/>
              <w:right w:val="single" w:sz="4" w:space="0" w:color="auto"/>
            </w:tcBorders>
            <w:shd w:val="clear" w:color="auto" w:fill="D3D3D3"/>
            <w:vAlign w:val="center"/>
          </w:tcPr>
          <w:p w:rsidR="00A657C2" w:rsidRPr="00090FC7" w:rsidRDefault="00A657C2" w:rsidP="00207922">
            <w:pPr>
              <w:rPr>
                <w:rFonts w:ascii="Arial" w:hAnsi="Arial" w:cs="Arial"/>
              </w:rPr>
            </w:pPr>
            <w:r w:rsidRPr="00090FC7">
              <w:rPr>
                <w:rFonts w:ascii="Arial" w:hAnsi="Arial" w:cs="Arial"/>
              </w:rPr>
              <w:t>股票上市交易所</w:t>
            </w:r>
          </w:p>
        </w:tc>
        <w:tc>
          <w:tcPr>
            <w:tcW w:w="72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657C2" w:rsidRPr="00090FC7" w:rsidRDefault="00A657C2" w:rsidP="00207922">
            <w:pPr>
              <w:rPr>
                <w:rFonts w:ascii="Arial" w:hAnsi="Arial" w:cs="Arial"/>
              </w:rPr>
            </w:pPr>
            <w:r w:rsidRPr="00090FC7">
              <w:rPr>
                <w:rFonts w:ascii="Arial" w:hAnsi="Arial" w:cs="Arial"/>
              </w:rPr>
              <w:t>深圳证券交易所</w:t>
            </w:r>
          </w:p>
        </w:tc>
      </w:tr>
      <w:tr w:rsidR="00A657C2" w:rsidRPr="00090FC7" w:rsidTr="00207922">
        <w:tc>
          <w:tcPr>
            <w:tcW w:w="2268" w:type="dxa"/>
            <w:tcBorders>
              <w:top w:val="single" w:sz="4" w:space="0" w:color="auto"/>
              <w:left w:val="single" w:sz="4" w:space="0" w:color="auto"/>
              <w:bottom w:val="single" w:sz="4" w:space="0" w:color="auto"/>
              <w:right w:val="single" w:sz="4" w:space="0" w:color="auto"/>
            </w:tcBorders>
            <w:shd w:val="clear" w:color="auto" w:fill="D3D3D3"/>
            <w:vAlign w:val="center"/>
          </w:tcPr>
          <w:p w:rsidR="00A657C2" w:rsidRPr="00090FC7" w:rsidRDefault="00A657C2" w:rsidP="00207922">
            <w:pPr>
              <w:rPr>
                <w:rFonts w:ascii="Arial" w:hAnsi="Arial" w:cs="Arial"/>
              </w:rPr>
            </w:pPr>
            <w:r w:rsidRPr="00090FC7">
              <w:rPr>
                <w:rFonts w:ascii="Arial" w:hAnsi="Arial" w:cs="Arial"/>
              </w:rPr>
              <w:t>联系人和联系方式</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A657C2" w:rsidRPr="00090FC7" w:rsidRDefault="00A657C2" w:rsidP="00207922">
            <w:pPr>
              <w:rPr>
                <w:rFonts w:ascii="Arial" w:hAnsi="Arial" w:cs="Arial"/>
              </w:rPr>
            </w:pPr>
            <w:r w:rsidRPr="00090FC7">
              <w:rPr>
                <w:rFonts w:ascii="Arial" w:hAnsi="Arial" w:cs="Arial"/>
              </w:rPr>
              <w:t>董事会秘书</w:t>
            </w:r>
          </w:p>
        </w:tc>
        <w:tc>
          <w:tcPr>
            <w:tcW w:w="3613" w:type="dxa"/>
            <w:gridSpan w:val="2"/>
            <w:tcBorders>
              <w:top w:val="single" w:sz="4" w:space="0" w:color="auto"/>
              <w:left w:val="single" w:sz="4" w:space="0" w:color="auto"/>
              <w:bottom w:val="single" w:sz="4" w:space="0" w:color="auto"/>
              <w:right w:val="single" w:sz="4" w:space="0" w:color="auto"/>
            </w:tcBorders>
            <w:shd w:val="clear" w:color="auto" w:fill="D3D3D3"/>
            <w:vAlign w:val="center"/>
          </w:tcPr>
          <w:p w:rsidR="00A657C2" w:rsidRPr="00090FC7" w:rsidRDefault="00A657C2" w:rsidP="00207922">
            <w:pPr>
              <w:rPr>
                <w:rFonts w:ascii="Arial" w:hAnsi="Arial" w:cs="Arial"/>
              </w:rPr>
            </w:pPr>
            <w:r w:rsidRPr="00090FC7">
              <w:rPr>
                <w:rFonts w:ascii="Arial" w:hAnsi="Arial" w:cs="Arial"/>
              </w:rPr>
              <w:t>证券事务代表</w:t>
            </w:r>
          </w:p>
        </w:tc>
      </w:tr>
      <w:tr w:rsidR="00A657C2" w:rsidRPr="00090FC7" w:rsidTr="00207922">
        <w:tc>
          <w:tcPr>
            <w:tcW w:w="2268" w:type="dxa"/>
            <w:tcBorders>
              <w:top w:val="single" w:sz="4" w:space="0" w:color="auto"/>
              <w:left w:val="single" w:sz="4" w:space="0" w:color="auto"/>
              <w:bottom w:val="single" w:sz="4" w:space="0" w:color="auto"/>
              <w:right w:val="single" w:sz="4" w:space="0" w:color="auto"/>
            </w:tcBorders>
            <w:shd w:val="clear" w:color="auto" w:fill="D3D3D3"/>
            <w:vAlign w:val="center"/>
          </w:tcPr>
          <w:p w:rsidR="00A657C2" w:rsidRPr="00090FC7" w:rsidRDefault="00A657C2" w:rsidP="00207922">
            <w:pPr>
              <w:rPr>
                <w:rFonts w:ascii="Arial" w:hAnsi="Arial" w:cs="Arial"/>
              </w:rPr>
            </w:pPr>
            <w:r w:rsidRPr="00090FC7">
              <w:rPr>
                <w:rFonts w:ascii="Arial" w:hAnsi="Arial" w:cs="Arial"/>
              </w:rPr>
              <w:t>姓名</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A657C2" w:rsidRPr="00090FC7" w:rsidRDefault="007A0B7B" w:rsidP="00207922">
            <w:pPr>
              <w:rPr>
                <w:rFonts w:ascii="Arial" w:hAnsi="Arial" w:cs="Arial"/>
              </w:rPr>
            </w:pPr>
            <w:r w:rsidRPr="00090FC7">
              <w:rPr>
                <w:rFonts w:ascii="Arial" w:hAnsi="Arial" w:cs="Arial" w:hint="eastAsia"/>
              </w:rPr>
              <w:t>刘义忠</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A657C2" w:rsidRPr="00090FC7" w:rsidRDefault="00A657C2" w:rsidP="00207922">
            <w:pPr>
              <w:rPr>
                <w:rFonts w:ascii="Arial" w:hAnsi="Arial" w:cs="Arial"/>
              </w:rPr>
            </w:pPr>
            <w:r w:rsidRPr="00090FC7">
              <w:rPr>
                <w:rFonts w:ascii="Arial" w:hAnsi="Arial" w:cs="Arial"/>
              </w:rPr>
              <w:t>李萍</w:t>
            </w:r>
          </w:p>
        </w:tc>
      </w:tr>
      <w:tr w:rsidR="005F524D" w:rsidRPr="00090FC7" w:rsidTr="00207922">
        <w:tc>
          <w:tcPr>
            <w:tcW w:w="2268" w:type="dxa"/>
            <w:tcBorders>
              <w:top w:val="single" w:sz="4" w:space="0" w:color="auto"/>
              <w:left w:val="single" w:sz="4" w:space="0" w:color="auto"/>
              <w:bottom w:val="single" w:sz="4" w:space="0" w:color="auto"/>
              <w:right w:val="single" w:sz="4" w:space="0" w:color="auto"/>
            </w:tcBorders>
            <w:shd w:val="clear" w:color="auto" w:fill="D3D3D3"/>
            <w:vAlign w:val="center"/>
          </w:tcPr>
          <w:p w:rsidR="005F524D" w:rsidRPr="00090FC7" w:rsidRDefault="005F524D" w:rsidP="00207922">
            <w:pPr>
              <w:rPr>
                <w:rFonts w:ascii="Arial" w:hAnsi="Arial" w:cs="Arial"/>
              </w:rPr>
            </w:pPr>
            <w:r w:rsidRPr="00090FC7">
              <w:rPr>
                <w:rFonts w:ascii="Arial" w:hAnsi="Arial" w:cs="Arial"/>
              </w:rPr>
              <w:t>办公地址</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F524D" w:rsidRPr="00090FC7" w:rsidRDefault="005F524D" w:rsidP="00207922">
            <w:pPr>
              <w:rPr>
                <w:rFonts w:ascii="Arial" w:hAnsi="Arial" w:cs="Arial"/>
              </w:rPr>
            </w:pPr>
            <w:r w:rsidRPr="00090FC7">
              <w:rPr>
                <w:rFonts w:ascii="Arial" w:hAnsi="Arial" w:cs="Arial"/>
              </w:rPr>
              <w:t>南京市江宁滨江经济开发区景明大街</w:t>
            </w:r>
            <w:r w:rsidRPr="00090FC7">
              <w:rPr>
                <w:rFonts w:ascii="Arial" w:hAnsi="Arial" w:cs="Arial"/>
              </w:rPr>
              <w:t>15</w:t>
            </w:r>
            <w:r w:rsidRPr="00090FC7">
              <w:rPr>
                <w:rFonts w:ascii="Arial" w:hAnsi="Arial" w:cs="Arial"/>
              </w:rPr>
              <w:t>号</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5F524D" w:rsidRPr="00090FC7" w:rsidRDefault="005F524D" w:rsidP="00207922">
            <w:pPr>
              <w:rPr>
                <w:rFonts w:ascii="Arial" w:hAnsi="Arial" w:cs="Arial"/>
              </w:rPr>
            </w:pPr>
            <w:r w:rsidRPr="00090FC7">
              <w:rPr>
                <w:rFonts w:ascii="Arial" w:hAnsi="Arial" w:cs="Arial"/>
              </w:rPr>
              <w:t>南京市江宁滨江经济开发区景明大街</w:t>
            </w:r>
            <w:r w:rsidRPr="00090FC7">
              <w:rPr>
                <w:rFonts w:ascii="Arial" w:hAnsi="Arial" w:cs="Arial"/>
              </w:rPr>
              <w:t>15</w:t>
            </w:r>
            <w:r w:rsidRPr="00090FC7">
              <w:rPr>
                <w:rFonts w:ascii="Arial" w:hAnsi="Arial" w:cs="Arial"/>
              </w:rPr>
              <w:t>号</w:t>
            </w:r>
          </w:p>
        </w:tc>
      </w:tr>
      <w:tr w:rsidR="005F524D" w:rsidRPr="00090FC7" w:rsidTr="00207922">
        <w:tc>
          <w:tcPr>
            <w:tcW w:w="2268" w:type="dxa"/>
            <w:tcBorders>
              <w:top w:val="single" w:sz="4" w:space="0" w:color="auto"/>
              <w:left w:val="single" w:sz="4" w:space="0" w:color="auto"/>
              <w:bottom w:val="single" w:sz="4" w:space="0" w:color="auto"/>
              <w:right w:val="single" w:sz="4" w:space="0" w:color="auto"/>
            </w:tcBorders>
            <w:shd w:val="clear" w:color="auto" w:fill="D3D3D3"/>
            <w:vAlign w:val="center"/>
          </w:tcPr>
          <w:p w:rsidR="005F524D" w:rsidRPr="00090FC7" w:rsidRDefault="005F524D" w:rsidP="00207922">
            <w:pPr>
              <w:rPr>
                <w:rFonts w:ascii="Arial" w:hAnsi="Arial" w:cs="Arial"/>
              </w:rPr>
            </w:pPr>
            <w:r w:rsidRPr="00090FC7">
              <w:rPr>
                <w:rFonts w:ascii="Arial" w:hAnsi="Arial" w:cs="Arial"/>
              </w:rPr>
              <w:t>传真</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F524D" w:rsidRPr="00090FC7" w:rsidRDefault="005F524D" w:rsidP="00207922">
            <w:pPr>
              <w:rPr>
                <w:rFonts w:ascii="Arial" w:hAnsi="Arial" w:cs="Arial"/>
              </w:rPr>
            </w:pPr>
            <w:r w:rsidRPr="00090FC7">
              <w:rPr>
                <w:rFonts w:ascii="Arial" w:hAnsi="Arial" w:cs="Arial"/>
              </w:rPr>
              <w:t>025-51180028</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5F524D" w:rsidRPr="00090FC7" w:rsidRDefault="005F524D" w:rsidP="00207922">
            <w:pPr>
              <w:rPr>
                <w:rFonts w:ascii="Arial" w:hAnsi="Arial" w:cs="Arial"/>
              </w:rPr>
            </w:pPr>
            <w:r w:rsidRPr="00090FC7">
              <w:rPr>
                <w:rFonts w:ascii="Arial" w:hAnsi="Arial" w:cs="Arial"/>
              </w:rPr>
              <w:t>025-51180028</w:t>
            </w:r>
          </w:p>
        </w:tc>
      </w:tr>
      <w:tr w:rsidR="005F524D" w:rsidRPr="00090FC7" w:rsidTr="00207922">
        <w:tc>
          <w:tcPr>
            <w:tcW w:w="2268" w:type="dxa"/>
            <w:tcBorders>
              <w:top w:val="single" w:sz="4" w:space="0" w:color="auto"/>
              <w:left w:val="single" w:sz="4" w:space="0" w:color="auto"/>
              <w:bottom w:val="single" w:sz="4" w:space="0" w:color="auto"/>
              <w:right w:val="single" w:sz="4" w:space="0" w:color="auto"/>
            </w:tcBorders>
            <w:shd w:val="clear" w:color="auto" w:fill="D3D3D3"/>
            <w:vAlign w:val="center"/>
          </w:tcPr>
          <w:p w:rsidR="005F524D" w:rsidRPr="00090FC7" w:rsidRDefault="005F524D" w:rsidP="00207922">
            <w:pPr>
              <w:rPr>
                <w:rFonts w:ascii="Arial" w:hAnsi="Arial" w:cs="Arial"/>
              </w:rPr>
            </w:pPr>
            <w:r w:rsidRPr="00090FC7">
              <w:rPr>
                <w:rFonts w:ascii="Arial" w:hAnsi="Arial" w:cs="Arial"/>
              </w:rPr>
              <w:t>电话</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F524D" w:rsidRPr="00090FC7" w:rsidRDefault="005F524D" w:rsidP="00207922">
            <w:pPr>
              <w:rPr>
                <w:rFonts w:ascii="Arial" w:hAnsi="Arial" w:cs="Arial"/>
              </w:rPr>
            </w:pPr>
            <w:r w:rsidRPr="00090FC7">
              <w:rPr>
                <w:rFonts w:ascii="Arial" w:hAnsi="Arial" w:cs="Arial"/>
              </w:rPr>
              <w:t>025-51180028</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5F524D" w:rsidRPr="00090FC7" w:rsidRDefault="005F524D" w:rsidP="00207922">
            <w:pPr>
              <w:rPr>
                <w:rFonts w:ascii="Arial" w:hAnsi="Arial" w:cs="Arial"/>
              </w:rPr>
            </w:pPr>
            <w:r w:rsidRPr="00090FC7">
              <w:rPr>
                <w:rFonts w:ascii="Arial" w:hAnsi="Arial" w:cs="Arial"/>
              </w:rPr>
              <w:t>025-51180028</w:t>
            </w:r>
          </w:p>
        </w:tc>
      </w:tr>
      <w:tr w:rsidR="005F524D" w:rsidRPr="00090FC7" w:rsidTr="00207922">
        <w:tc>
          <w:tcPr>
            <w:tcW w:w="2268" w:type="dxa"/>
            <w:tcBorders>
              <w:top w:val="single" w:sz="4" w:space="0" w:color="auto"/>
              <w:left w:val="single" w:sz="4" w:space="0" w:color="auto"/>
              <w:bottom w:val="single" w:sz="4" w:space="0" w:color="auto"/>
              <w:right w:val="single" w:sz="4" w:space="0" w:color="auto"/>
            </w:tcBorders>
            <w:shd w:val="clear" w:color="auto" w:fill="D3D3D3"/>
            <w:vAlign w:val="center"/>
          </w:tcPr>
          <w:p w:rsidR="005F524D" w:rsidRPr="00090FC7" w:rsidRDefault="005F524D" w:rsidP="00207922">
            <w:pPr>
              <w:rPr>
                <w:rFonts w:ascii="Arial" w:hAnsi="Arial" w:cs="Arial"/>
              </w:rPr>
            </w:pPr>
            <w:r w:rsidRPr="00090FC7">
              <w:rPr>
                <w:rFonts w:ascii="Arial" w:hAnsi="Arial" w:cs="Arial"/>
              </w:rPr>
              <w:t>电子信箱</w:t>
            </w:r>
          </w:p>
        </w:tc>
        <w:tc>
          <w:tcPr>
            <w:tcW w:w="3686" w:type="dxa"/>
            <w:gridSpan w:val="2"/>
            <w:tcBorders>
              <w:top w:val="single" w:sz="4" w:space="0" w:color="auto"/>
              <w:left w:val="single" w:sz="4" w:space="0" w:color="auto"/>
              <w:bottom w:val="single" w:sz="4" w:space="0" w:color="auto"/>
              <w:right w:val="single" w:sz="4" w:space="0" w:color="auto"/>
            </w:tcBorders>
            <w:vAlign w:val="center"/>
          </w:tcPr>
          <w:p w:rsidR="005F524D" w:rsidRPr="00090FC7" w:rsidRDefault="00886FA6" w:rsidP="00207922">
            <w:r w:rsidRPr="00090FC7">
              <w:t>dsoffice@baose.com</w:t>
            </w:r>
          </w:p>
        </w:tc>
        <w:tc>
          <w:tcPr>
            <w:tcW w:w="3613" w:type="dxa"/>
            <w:gridSpan w:val="2"/>
            <w:tcBorders>
              <w:top w:val="single" w:sz="4" w:space="0" w:color="auto"/>
              <w:left w:val="single" w:sz="4" w:space="0" w:color="auto"/>
              <w:bottom w:val="single" w:sz="4" w:space="0" w:color="auto"/>
              <w:right w:val="single" w:sz="4" w:space="0" w:color="auto"/>
            </w:tcBorders>
            <w:vAlign w:val="center"/>
          </w:tcPr>
          <w:p w:rsidR="005F524D" w:rsidRPr="00090FC7" w:rsidRDefault="00886FA6" w:rsidP="00207922">
            <w:r w:rsidRPr="00090FC7">
              <w:t>dsoffice@baose.com</w:t>
            </w:r>
          </w:p>
        </w:tc>
      </w:tr>
    </w:tbl>
    <w:p w:rsidR="00A657C2" w:rsidRPr="00090FC7" w:rsidRDefault="00A657C2" w:rsidP="00A657C2">
      <w:pPr>
        <w:spacing w:before="120" w:line="360" w:lineRule="auto"/>
        <w:outlineLvl w:val="2"/>
        <w:rPr>
          <w:rFonts w:ascii="Arial" w:hAnsi="Arial" w:cs="Arial"/>
          <w:b/>
          <w:sz w:val="21"/>
          <w:szCs w:val="21"/>
        </w:rPr>
      </w:pPr>
      <w:r w:rsidRPr="00090FC7">
        <w:rPr>
          <w:rFonts w:ascii="Arial" w:hAnsi="Arial" w:cs="Arial"/>
          <w:b/>
          <w:sz w:val="21"/>
          <w:szCs w:val="21"/>
        </w:rPr>
        <w:t>2</w:t>
      </w:r>
      <w:r w:rsidRPr="00090FC7">
        <w:rPr>
          <w:rFonts w:ascii="Arial" w:hAnsi="Arial" w:cs="Arial" w:hint="eastAsia"/>
          <w:b/>
          <w:sz w:val="21"/>
          <w:szCs w:val="21"/>
        </w:rPr>
        <w:t>、报告期主要业务或产品简介</w:t>
      </w:r>
    </w:p>
    <w:p w:rsidR="00600C98" w:rsidRDefault="00F044FA" w:rsidP="00600C98">
      <w:pPr>
        <w:autoSpaceDE w:val="0"/>
        <w:autoSpaceDN w:val="0"/>
        <w:adjustRightInd w:val="0"/>
        <w:spacing w:line="360" w:lineRule="auto"/>
        <w:ind w:firstLine="422"/>
        <w:rPr>
          <w:rFonts w:ascii="Arial" w:hAnsi="Arial" w:cs="Arial"/>
          <w:b/>
          <w:bCs/>
          <w:kern w:val="0"/>
          <w:sz w:val="21"/>
          <w:szCs w:val="21"/>
          <w:lang w:val="zh-CN"/>
        </w:rPr>
      </w:pPr>
      <w:r>
        <w:rPr>
          <w:rFonts w:ascii="Arial" w:hAnsi="Arial" w:cs="Arial" w:hint="eastAsia"/>
          <w:b/>
          <w:bCs/>
          <w:kern w:val="0"/>
          <w:sz w:val="21"/>
          <w:szCs w:val="21"/>
          <w:lang w:val="zh-CN"/>
        </w:rPr>
        <w:lastRenderedPageBreak/>
        <w:t>（</w:t>
      </w:r>
      <w:r>
        <w:rPr>
          <w:rFonts w:ascii="Arial" w:hAnsi="Arial" w:cs="Arial" w:hint="eastAsia"/>
          <w:b/>
          <w:bCs/>
          <w:kern w:val="0"/>
          <w:sz w:val="21"/>
          <w:szCs w:val="21"/>
          <w:lang w:val="zh-CN"/>
        </w:rPr>
        <w:t>1</w:t>
      </w:r>
      <w:r>
        <w:rPr>
          <w:rFonts w:ascii="Arial" w:hAnsi="Arial" w:cs="Arial" w:hint="eastAsia"/>
          <w:b/>
          <w:bCs/>
          <w:kern w:val="0"/>
          <w:sz w:val="21"/>
          <w:szCs w:val="21"/>
          <w:lang w:val="zh-CN"/>
        </w:rPr>
        <w:t>）</w:t>
      </w:r>
      <w:r w:rsidR="00CC3C98">
        <w:rPr>
          <w:rFonts w:ascii="Arial" w:hAnsi="Arial" w:cs="Arial" w:hint="eastAsia"/>
          <w:b/>
          <w:bCs/>
          <w:kern w:val="0"/>
          <w:sz w:val="21"/>
          <w:szCs w:val="21"/>
          <w:lang w:val="zh-CN"/>
        </w:rPr>
        <w:t>报告期内公司所从事的主要业务和</w:t>
      </w:r>
      <w:r w:rsidR="00600C98" w:rsidRPr="00090FC7">
        <w:rPr>
          <w:rFonts w:ascii="Arial" w:hAnsi="Arial" w:cs="Arial" w:hint="eastAsia"/>
          <w:b/>
          <w:bCs/>
          <w:kern w:val="0"/>
          <w:sz w:val="21"/>
          <w:szCs w:val="21"/>
          <w:lang w:val="zh-CN"/>
        </w:rPr>
        <w:t>主要产品</w:t>
      </w:r>
      <w:r w:rsidR="00CC3C98">
        <w:rPr>
          <w:rFonts w:ascii="Arial" w:hAnsi="Arial" w:cs="Arial" w:hint="eastAsia"/>
          <w:b/>
          <w:bCs/>
          <w:kern w:val="0"/>
          <w:sz w:val="21"/>
          <w:szCs w:val="21"/>
          <w:lang w:val="zh-CN"/>
        </w:rPr>
        <w:t>简介</w:t>
      </w:r>
    </w:p>
    <w:p w:rsidR="00C66CE8" w:rsidRPr="00C66CE8" w:rsidRDefault="00040B85" w:rsidP="009951F6">
      <w:pPr>
        <w:autoSpaceDE w:val="0"/>
        <w:autoSpaceDN w:val="0"/>
        <w:adjustRightInd w:val="0"/>
        <w:spacing w:before="0" w:after="0" w:line="360" w:lineRule="auto"/>
        <w:ind w:firstLine="422"/>
        <w:rPr>
          <w:rFonts w:ascii="Arial" w:hAnsi="Arial" w:cs="Arial"/>
          <w:b/>
          <w:bCs/>
          <w:sz w:val="21"/>
          <w:szCs w:val="21"/>
          <w:lang w:val="zh-CN"/>
        </w:rPr>
      </w:pPr>
      <w:r w:rsidRPr="00040B85">
        <w:rPr>
          <w:rFonts w:ascii="Arial" w:hAnsi="Arial" w:cs="Arial"/>
          <w:b/>
          <w:bCs/>
          <w:sz w:val="21"/>
          <w:szCs w:val="21"/>
          <w:lang w:val="zh-CN"/>
        </w:rPr>
        <w:t>1</w:t>
      </w:r>
      <w:r w:rsidRPr="00040B85">
        <w:rPr>
          <w:rFonts w:ascii="Arial" w:hAnsi="Arial" w:cs="Arial" w:hint="eastAsia"/>
          <w:b/>
          <w:bCs/>
          <w:sz w:val="21"/>
          <w:szCs w:val="21"/>
          <w:lang w:val="zh-CN"/>
        </w:rPr>
        <w:t>、主营业务</w:t>
      </w:r>
    </w:p>
    <w:p w:rsidR="008B4DBD" w:rsidRDefault="008B4DBD" w:rsidP="008B4DBD">
      <w:pPr>
        <w:pStyle w:val="af0"/>
        <w:spacing w:before="40" w:beforeAutospacing="0" w:after="40" w:afterAutospacing="0" w:line="324" w:lineRule="auto"/>
        <w:ind w:firstLineChars="200" w:firstLine="420"/>
        <w:rPr>
          <w:sz w:val="21"/>
          <w:szCs w:val="21"/>
        </w:rPr>
      </w:pPr>
      <w:r>
        <w:rPr>
          <w:rFonts w:cs="Arial" w:hint="eastAsia"/>
          <w:sz w:val="21"/>
          <w:szCs w:val="21"/>
        </w:rPr>
        <w:t>报告期内，公司主营业务未发生重大变化。公司主要从事钛、镍、锆、钽、铜等有色金属及其合金、高级不锈钢和金属复合材料等特种材料非标压力容器装备的研发、设计、制造、安装、服务与技术咨询，以及有色金属焊接压力管道、管件的制造和安装。公司产品主要面向对装备有防腐蚀、耐高压、耐高温等特殊性能要求的行业，为客户提供定制化的解决方案，满足其复杂且严苛的工况需求。</w:t>
      </w:r>
    </w:p>
    <w:p w:rsidR="00C66CE8" w:rsidRPr="00C66CE8" w:rsidRDefault="00040B85" w:rsidP="009951F6">
      <w:pPr>
        <w:autoSpaceDE w:val="0"/>
        <w:autoSpaceDN w:val="0"/>
        <w:adjustRightInd w:val="0"/>
        <w:spacing w:before="0" w:after="0" w:line="360" w:lineRule="auto"/>
        <w:ind w:firstLine="422"/>
        <w:rPr>
          <w:rFonts w:ascii="Arial" w:hAnsi="Arial" w:cs="Arial"/>
          <w:b/>
          <w:bCs/>
          <w:sz w:val="21"/>
          <w:szCs w:val="21"/>
          <w:lang w:val="zh-CN"/>
        </w:rPr>
      </w:pPr>
      <w:r w:rsidRPr="00040B85">
        <w:rPr>
          <w:rFonts w:ascii="Arial" w:hAnsi="Arial" w:cs="Arial"/>
          <w:b/>
          <w:bCs/>
          <w:sz w:val="21"/>
          <w:szCs w:val="21"/>
          <w:lang w:val="zh-CN"/>
        </w:rPr>
        <w:t>2</w:t>
      </w:r>
      <w:r w:rsidRPr="00040B85">
        <w:rPr>
          <w:rFonts w:ascii="Arial" w:hAnsi="Arial" w:cs="Arial" w:hint="eastAsia"/>
          <w:b/>
          <w:bCs/>
          <w:sz w:val="21"/>
          <w:szCs w:val="21"/>
          <w:lang w:val="zh-CN"/>
        </w:rPr>
        <w:t>、主要产品及其用途</w:t>
      </w:r>
    </w:p>
    <w:p w:rsidR="008B4DBD" w:rsidRDefault="008B4DBD" w:rsidP="008B4DBD">
      <w:pPr>
        <w:pStyle w:val="af0"/>
        <w:spacing w:beforeAutospacing="0" w:afterAutospacing="0" w:line="324" w:lineRule="auto"/>
        <w:ind w:firstLineChars="200" w:firstLine="420"/>
        <w:jc w:val="both"/>
        <w:rPr>
          <w:sz w:val="21"/>
          <w:szCs w:val="21"/>
        </w:rPr>
      </w:pPr>
      <w:r>
        <w:rPr>
          <w:rFonts w:hint="eastAsia"/>
          <w:sz w:val="21"/>
          <w:szCs w:val="21"/>
        </w:rPr>
        <w:t>公司产品主要为高端特材非标设备，包括换热器、塔器、反应器等各类压力容器，以及与之配套的管道管件，用于满足化工、能源、冶金、电力、环保、海洋工程及舰船等众多行业的生产需求，在各个行业的生产装置中承担着反应、传质、传热、分离和储存等关键生产工艺过程，是保障生产装置高效、稳定运行的核心配套设备。</w:t>
      </w:r>
    </w:p>
    <w:p w:rsidR="00326086" w:rsidRDefault="00040B85" w:rsidP="009951F6">
      <w:pPr>
        <w:autoSpaceDE w:val="0"/>
        <w:autoSpaceDN w:val="0"/>
        <w:adjustRightInd w:val="0"/>
        <w:spacing w:before="0" w:after="0" w:line="360" w:lineRule="auto"/>
        <w:ind w:firstLine="420"/>
        <w:rPr>
          <w:rFonts w:ascii="Arial" w:hAnsi="宋体" w:cs="Arial"/>
          <w:sz w:val="21"/>
          <w:szCs w:val="21"/>
          <w:lang w:val="zh-CN"/>
        </w:rPr>
      </w:pPr>
      <w:r w:rsidRPr="00040B85">
        <w:rPr>
          <w:rFonts w:ascii="Arial" w:hAnsi="宋体" w:cs="Arial" w:hint="eastAsia"/>
          <w:sz w:val="21"/>
          <w:szCs w:val="21"/>
          <w:lang w:val="zh-CN"/>
        </w:rPr>
        <w:t>公司在相关领域的代表产品如下：</w:t>
      </w:r>
    </w:p>
    <w:p w:rsidR="008B4DBD" w:rsidRPr="008B4DBD" w:rsidRDefault="008B4DBD" w:rsidP="008B4DBD">
      <w:pPr>
        <w:autoSpaceDE w:val="0"/>
        <w:autoSpaceDN w:val="0"/>
        <w:adjustRightInd w:val="0"/>
        <w:spacing w:before="0" w:after="0" w:line="324" w:lineRule="auto"/>
        <w:ind w:firstLine="420"/>
        <w:rPr>
          <w:rFonts w:ascii="Arial" w:hAnsi="宋体" w:cs="Arial"/>
          <w:b/>
          <w:sz w:val="21"/>
          <w:szCs w:val="21"/>
          <w:lang w:val="zh-CN"/>
        </w:rPr>
      </w:pPr>
      <w:r w:rsidRPr="008B4DBD">
        <w:rPr>
          <w:rFonts w:ascii="Arial" w:hAnsi="宋体" w:cs="Arial" w:hint="eastAsia"/>
          <w:b/>
          <w:sz w:val="21"/>
          <w:szCs w:val="21"/>
          <w:lang w:val="zh-CN"/>
        </w:rPr>
        <w:t>化工领域：</w:t>
      </w:r>
    </w:p>
    <w:p w:rsidR="008B4DBD" w:rsidRPr="008B4DBD" w:rsidRDefault="008B4DBD" w:rsidP="008B4DBD">
      <w:pPr>
        <w:widowControl/>
        <w:numPr>
          <w:ilvl w:val="0"/>
          <w:numId w:val="4"/>
        </w:numPr>
        <w:spacing w:before="0" w:after="0" w:line="324" w:lineRule="auto"/>
        <w:jc w:val="left"/>
        <w:rPr>
          <w:rFonts w:ascii="宋体" w:hAnsi="宋体" w:cs="宋体"/>
          <w:sz w:val="21"/>
          <w:szCs w:val="21"/>
        </w:rPr>
      </w:pPr>
      <w:r w:rsidRPr="008B4DBD">
        <w:rPr>
          <w:rFonts w:cs="Arial" w:hint="eastAsia"/>
          <w:sz w:val="21"/>
          <w:szCs w:val="21"/>
        </w:rPr>
        <w:t>超大型</w:t>
      </w:r>
      <w:r w:rsidRPr="008B4DBD">
        <w:rPr>
          <w:rFonts w:ascii="Arial" w:hAnsi="Arial" w:cs="Arial"/>
          <w:sz w:val="21"/>
          <w:szCs w:val="21"/>
        </w:rPr>
        <w:t>PTA</w:t>
      </w:r>
      <w:r w:rsidRPr="008B4DBD">
        <w:rPr>
          <w:rFonts w:cs="Arial" w:hint="eastAsia"/>
          <w:sz w:val="21"/>
          <w:szCs w:val="21"/>
        </w:rPr>
        <w:t>装置的反应器、冷凝器、塔器、结晶器及配套的特材管道管件等核心设备</w:t>
      </w:r>
    </w:p>
    <w:p w:rsidR="008B4DBD" w:rsidRPr="008B4DBD" w:rsidRDefault="008B4DBD" w:rsidP="008B4DBD">
      <w:pPr>
        <w:widowControl/>
        <w:numPr>
          <w:ilvl w:val="0"/>
          <w:numId w:val="4"/>
        </w:numPr>
        <w:spacing w:before="0" w:after="0" w:line="324" w:lineRule="auto"/>
        <w:jc w:val="left"/>
        <w:rPr>
          <w:rFonts w:asciiTheme="minorHAnsi" w:hAnsiTheme="minorHAnsi" w:cstheme="minorBidi"/>
          <w:sz w:val="21"/>
          <w:szCs w:val="21"/>
        </w:rPr>
      </w:pPr>
      <w:r w:rsidRPr="008B4DBD">
        <w:rPr>
          <w:rFonts w:cs="Arial" w:hint="eastAsia"/>
          <w:sz w:val="21"/>
          <w:szCs w:val="21"/>
        </w:rPr>
        <w:t>大型</w:t>
      </w:r>
      <w:r w:rsidRPr="008B4DBD">
        <w:rPr>
          <w:rFonts w:ascii="Arial" w:hAnsi="Arial" w:cs="Arial"/>
          <w:sz w:val="21"/>
          <w:szCs w:val="21"/>
        </w:rPr>
        <w:t>PDH</w:t>
      </w:r>
      <w:r w:rsidRPr="008B4DBD">
        <w:rPr>
          <w:rFonts w:cs="Arial" w:hint="eastAsia"/>
          <w:sz w:val="21"/>
          <w:szCs w:val="21"/>
        </w:rPr>
        <w:t>（丙烷脱氢制丙烯）装置的换热器、反应器等核心设备</w:t>
      </w:r>
    </w:p>
    <w:p w:rsidR="008B4DBD" w:rsidRPr="008B4DBD" w:rsidRDefault="008B4DBD" w:rsidP="008B4DBD">
      <w:pPr>
        <w:widowControl/>
        <w:numPr>
          <w:ilvl w:val="0"/>
          <w:numId w:val="4"/>
        </w:numPr>
        <w:spacing w:before="0" w:after="0" w:line="324" w:lineRule="auto"/>
        <w:jc w:val="left"/>
        <w:rPr>
          <w:sz w:val="21"/>
          <w:szCs w:val="21"/>
        </w:rPr>
      </w:pPr>
      <w:r w:rsidRPr="008B4DBD">
        <w:rPr>
          <w:rFonts w:cs="Arial" w:hint="eastAsia"/>
          <w:sz w:val="21"/>
          <w:szCs w:val="21"/>
        </w:rPr>
        <w:t>炼油装置的塔器、预热器、冷凝器、反应器等核心设备</w:t>
      </w:r>
    </w:p>
    <w:p w:rsidR="008B4DBD" w:rsidRPr="008B4DBD" w:rsidRDefault="008B4DBD" w:rsidP="008B4DBD">
      <w:pPr>
        <w:widowControl/>
        <w:numPr>
          <w:ilvl w:val="0"/>
          <w:numId w:val="4"/>
        </w:numPr>
        <w:spacing w:before="0" w:after="0" w:line="324" w:lineRule="auto"/>
        <w:jc w:val="left"/>
        <w:rPr>
          <w:sz w:val="21"/>
          <w:szCs w:val="21"/>
        </w:rPr>
      </w:pPr>
      <w:r w:rsidRPr="008B4DBD">
        <w:rPr>
          <w:rFonts w:cs="Arial" w:hint="eastAsia"/>
          <w:sz w:val="21"/>
          <w:szCs w:val="21"/>
        </w:rPr>
        <w:t>醋酸装置的塔器、反应器等锆材核心设备</w:t>
      </w:r>
    </w:p>
    <w:p w:rsidR="008B4DBD" w:rsidRPr="008B4DBD" w:rsidRDefault="008B4DBD" w:rsidP="008B4DBD">
      <w:pPr>
        <w:widowControl/>
        <w:numPr>
          <w:ilvl w:val="0"/>
          <w:numId w:val="4"/>
        </w:numPr>
        <w:spacing w:before="0" w:after="0" w:line="324" w:lineRule="auto"/>
        <w:jc w:val="left"/>
        <w:rPr>
          <w:sz w:val="21"/>
          <w:szCs w:val="21"/>
        </w:rPr>
      </w:pPr>
      <w:r w:rsidRPr="008B4DBD">
        <w:rPr>
          <w:rFonts w:cs="Arial" w:hint="eastAsia"/>
          <w:sz w:val="21"/>
          <w:szCs w:val="21"/>
        </w:rPr>
        <w:t>丙烯酸、</w:t>
      </w:r>
      <w:r w:rsidRPr="008B4DBD">
        <w:rPr>
          <w:rFonts w:ascii="Arial" w:hAnsi="Arial" w:cs="Arial"/>
          <w:sz w:val="21"/>
          <w:szCs w:val="21"/>
        </w:rPr>
        <w:t>MMA</w:t>
      </w:r>
      <w:r w:rsidRPr="008B4DBD">
        <w:rPr>
          <w:rFonts w:cs="Arial" w:hint="eastAsia"/>
          <w:sz w:val="21"/>
          <w:szCs w:val="21"/>
        </w:rPr>
        <w:t>装置的反应器等关键核心设备</w:t>
      </w:r>
    </w:p>
    <w:p w:rsidR="008B4DBD" w:rsidRPr="008B4DBD" w:rsidRDefault="008B4DBD" w:rsidP="008B4DBD">
      <w:pPr>
        <w:widowControl/>
        <w:numPr>
          <w:ilvl w:val="0"/>
          <w:numId w:val="4"/>
        </w:numPr>
        <w:spacing w:before="0" w:after="0" w:line="324" w:lineRule="auto"/>
        <w:jc w:val="left"/>
        <w:rPr>
          <w:sz w:val="21"/>
          <w:szCs w:val="21"/>
        </w:rPr>
      </w:pPr>
      <w:r w:rsidRPr="008B4DBD">
        <w:rPr>
          <w:rFonts w:ascii="Arial" w:hAnsi="Arial" w:cs="Arial"/>
          <w:sz w:val="21"/>
          <w:szCs w:val="21"/>
        </w:rPr>
        <w:t>ABS</w:t>
      </w:r>
      <w:r w:rsidRPr="008B4DBD">
        <w:rPr>
          <w:rFonts w:cs="Arial" w:hint="eastAsia"/>
          <w:sz w:val="21"/>
          <w:szCs w:val="21"/>
        </w:rPr>
        <w:t>树脂、高性能树脂等新材料项目的核心反应釜、预热器、一体式高温氯化反应器精馏塔等核心设备</w:t>
      </w:r>
    </w:p>
    <w:p w:rsidR="008B4DBD" w:rsidRPr="008B4DBD" w:rsidRDefault="008B4DBD" w:rsidP="008B4DBD">
      <w:pPr>
        <w:widowControl/>
        <w:numPr>
          <w:ilvl w:val="0"/>
          <w:numId w:val="4"/>
        </w:numPr>
        <w:spacing w:before="0" w:after="0" w:line="324" w:lineRule="auto"/>
        <w:jc w:val="left"/>
        <w:rPr>
          <w:sz w:val="21"/>
          <w:szCs w:val="21"/>
        </w:rPr>
      </w:pPr>
      <w:r w:rsidRPr="008B4DBD">
        <w:rPr>
          <w:rFonts w:cs="Arial" w:hint="eastAsia"/>
          <w:sz w:val="21"/>
          <w:szCs w:val="21"/>
        </w:rPr>
        <w:t>双氧水装置的塔器、换热器等核心设备</w:t>
      </w:r>
    </w:p>
    <w:p w:rsidR="008B4DBD" w:rsidRPr="008B4DBD" w:rsidRDefault="008B4DBD" w:rsidP="008B4DBD">
      <w:pPr>
        <w:widowControl/>
        <w:numPr>
          <w:ilvl w:val="0"/>
          <w:numId w:val="4"/>
        </w:numPr>
        <w:spacing w:before="0" w:after="0" w:line="324" w:lineRule="auto"/>
        <w:jc w:val="left"/>
        <w:rPr>
          <w:sz w:val="21"/>
          <w:szCs w:val="21"/>
        </w:rPr>
      </w:pPr>
      <w:r w:rsidRPr="008B4DBD">
        <w:rPr>
          <w:rFonts w:cs="Arial" w:hint="eastAsia"/>
          <w:sz w:val="21"/>
          <w:szCs w:val="21"/>
        </w:rPr>
        <w:t>医药、农药、日化等精细化工装置的换热器、反应器、分离器等设备</w:t>
      </w:r>
    </w:p>
    <w:p w:rsidR="008B4DBD" w:rsidRPr="008B4DBD" w:rsidRDefault="008B4DBD" w:rsidP="008B4DBD">
      <w:pPr>
        <w:widowControl/>
        <w:numPr>
          <w:ilvl w:val="0"/>
          <w:numId w:val="4"/>
        </w:numPr>
        <w:spacing w:before="0" w:after="0" w:line="324" w:lineRule="auto"/>
        <w:jc w:val="left"/>
        <w:rPr>
          <w:sz w:val="21"/>
          <w:szCs w:val="21"/>
        </w:rPr>
      </w:pPr>
      <w:r w:rsidRPr="008B4DBD">
        <w:rPr>
          <w:rFonts w:cs="Arial" w:hint="eastAsia"/>
          <w:sz w:val="21"/>
          <w:szCs w:val="21"/>
        </w:rPr>
        <w:t>煤化工行业的换热器、反应器、分离器等设备</w:t>
      </w:r>
    </w:p>
    <w:p w:rsidR="008B4DBD" w:rsidRPr="008B4DBD" w:rsidRDefault="008B4DBD" w:rsidP="008B4DBD">
      <w:pPr>
        <w:pStyle w:val="af0"/>
        <w:spacing w:beforeAutospacing="0" w:afterAutospacing="0" w:line="324" w:lineRule="auto"/>
        <w:ind w:left="2167" w:hanging="1680"/>
        <w:jc w:val="both"/>
        <w:rPr>
          <w:sz w:val="21"/>
          <w:szCs w:val="21"/>
        </w:rPr>
      </w:pPr>
      <w:r w:rsidRPr="008B4DBD">
        <w:rPr>
          <w:rStyle w:val="af1"/>
          <w:rFonts w:cs="Arial" w:hint="eastAsia"/>
          <w:sz w:val="21"/>
          <w:szCs w:val="21"/>
        </w:rPr>
        <w:t>冶金领域：</w:t>
      </w:r>
    </w:p>
    <w:p w:rsidR="008B4DBD" w:rsidRPr="008B4DBD" w:rsidRDefault="008B4DBD" w:rsidP="008B4DBD">
      <w:pPr>
        <w:widowControl/>
        <w:numPr>
          <w:ilvl w:val="0"/>
          <w:numId w:val="5"/>
        </w:numPr>
        <w:spacing w:before="0" w:after="0" w:line="324" w:lineRule="auto"/>
        <w:jc w:val="left"/>
        <w:rPr>
          <w:rFonts w:ascii="宋体" w:hAnsi="宋体" w:cs="宋体"/>
          <w:sz w:val="21"/>
          <w:szCs w:val="21"/>
        </w:rPr>
      </w:pPr>
      <w:r w:rsidRPr="008B4DBD">
        <w:rPr>
          <w:rFonts w:cs="Arial" w:hint="eastAsia"/>
          <w:sz w:val="21"/>
          <w:szCs w:val="21"/>
        </w:rPr>
        <w:t>矿业冶金行业工业装置的反应器、真空蒸发器、换热器等设备。</w:t>
      </w:r>
    </w:p>
    <w:p w:rsidR="008B4DBD" w:rsidRPr="008B4DBD" w:rsidRDefault="008B4DBD" w:rsidP="008B4DBD">
      <w:pPr>
        <w:pStyle w:val="af0"/>
        <w:spacing w:beforeAutospacing="0" w:afterAutospacing="0" w:line="324" w:lineRule="auto"/>
        <w:ind w:left="2167" w:hanging="1680"/>
        <w:jc w:val="both"/>
        <w:rPr>
          <w:sz w:val="21"/>
          <w:szCs w:val="21"/>
        </w:rPr>
      </w:pPr>
      <w:r w:rsidRPr="008B4DBD">
        <w:rPr>
          <w:rStyle w:val="af1"/>
          <w:rFonts w:cs="Arial" w:hint="eastAsia"/>
          <w:sz w:val="21"/>
          <w:szCs w:val="21"/>
        </w:rPr>
        <w:t>新能源领域：</w:t>
      </w:r>
    </w:p>
    <w:p w:rsidR="008B4DBD" w:rsidRPr="008B4DBD" w:rsidRDefault="008B4DBD" w:rsidP="008B4DBD">
      <w:pPr>
        <w:widowControl/>
        <w:numPr>
          <w:ilvl w:val="0"/>
          <w:numId w:val="6"/>
        </w:numPr>
        <w:spacing w:before="0" w:after="0" w:line="324" w:lineRule="auto"/>
        <w:jc w:val="left"/>
        <w:rPr>
          <w:rFonts w:ascii="宋体" w:hAnsi="宋体" w:cs="宋体"/>
          <w:sz w:val="21"/>
          <w:szCs w:val="21"/>
        </w:rPr>
      </w:pPr>
      <w:r w:rsidRPr="008B4DBD">
        <w:rPr>
          <w:rFonts w:ascii="Arial" w:hAnsi="Arial" w:cs="Arial"/>
          <w:sz w:val="21"/>
          <w:szCs w:val="21"/>
        </w:rPr>
        <w:t>.</w:t>
      </w:r>
      <w:r w:rsidRPr="008B4DBD">
        <w:rPr>
          <w:rFonts w:cs="Arial" w:hint="eastAsia"/>
          <w:sz w:val="21"/>
          <w:szCs w:val="21"/>
        </w:rPr>
        <w:t>动力电池相关原材料生产装置的高压反应釜、预热器、闪蒸槽</w:t>
      </w:r>
    </w:p>
    <w:p w:rsidR="008B4DBD" w:rsidRPr="008B4DBD" w:rsidRDefault="008B4DBD" w:rsidP="008B4DBD">
      <w:pPr>
        <w:widowControl/>
        <w:numPr>
          <w:ilvl w:val="0"/>
          <w:numId w:val="6"/>
        </w:numPr>
        <w:spacing w:before="0" w:after="0" w:line="324" w:lineRule="auto"/>
        <w:jc w:val="left"/>
        <w:rPr>
          <w:rFonts w:asciiTheme="minorHAnsi" w:hAnsiTheme="minorHAnsi" w:cstheme="minorBidi"/>
          <w:sz w:val="21"/>
          <w:szCs w:val="21"/>
        </w:rPr>
      </w:pPr>
      <w:r w:rsidRPr="008B4DBD">
        <w:rPr>
          <w:rFonts w:cs="Arial" w:hint="eastAsia"/>
          <w:sz w:val="21"/>
          <w:szCs w:val="21"/>
        </w:rPr>
        <w:t>光伏产业多晶硅冷氢化系统反应器、换热器、超纯硅反应器</w:t>
      </w:r>
    </w:p>
    <w:p w:rsidR="008B4DBD" w:rsidRPr="008B4DBD" w:rsidRDefault="008B4DBD" w:rsidP="008B4DBD">
      <w:pPr>
        <w:widowControl/>
        <w:numPr>
          <w:ilvl w:val="0"/>
          <w:numId w:val="6"/>
        </w:numPr>
        <w:spacing w:before="0" w:after="0" w:line="324" w:lineRule="auto"/>
        <w:jc w:val="left"/>
        <w:rPr>
          <w:sz w:val="21"/>
          <w:szCs w:val="21"/>
        </w:rPr>
      </w:pPr>
      <w:r w:rsidRPr="008B4DBD">
        <w:rPr>
          <w:rFonts w:cs="Arial" w:hint="eastAsia"/>
          <w:sz w:val="21"/>
          <w:szCs w:val="21"/>
        </w:rPr>
        <w:t>光热发电项目的</w:t>
      </w:r>
      <w:r w:rsidRPr="008B4DBD">
        <w:rPr>
          <w:rFonts w:ascii="Arial" w:hAnsi="Arial" w:cs="Arial"/>
          <w:sz w:val="21"/>
          <w:szCs w:val="21"/>
        </w:rPr>
        <w:t>SGS</w:t>
      </w:r>
      <w:r w:rsidRPr="008B4DBD">
        <w:rPr>
          <w:rFonts w:cs="Arial" w:hint="eastAsia"/>
          <w:sz w:val="21"/>
          <w:szCs w:val="21"/>
        </w:rPr>
        <w:t>蒸汽发生装置（蒸发器、预热器、过热器、再热器）</w:t>
      </w:r>
    </w:p>
    <w:p w:rsidR="008B4DBD" w:rsidRPr="008B4DBD" w:rsidRDefault="008B4DBD" w:rsidP="008B4DBD">
      <w:pPr>
        <w:widowControl/>
        <w:numPr>
          <w:ilvl w:val="0"/>
          <w:numId w:val="6"/>
        </w:numPr>
        <w:spacing w:before="0" w:after="0" w:line="324" w:lineRule="auto"/>
        <w:jc w:val="left"/>
        <w:rPr>
          <w:sz w:val="21"/>
          <w:szCs w:val="21"/>
        </w:rPr>
      </w:pPr>
      <w:r w:rsidRPr="008B4DBD">
        <w:rPr>
          <w:rFonts w:cs="Arial" w:hint="eastAsia"/>
          <w:sz w:val="21"/>
          <w:szCs w:val="21"/>
        </w:rPr>
        <w:t>地热发电项目的换热器等设备</w:t>
      </w:r>
    </w:p>
    <w:p w:rsidR="008B4DBD" w:rsidRPr="008B4DBD" w:rsidRDefault="008B4DBD" w:rsidP="008B4DBD">
      <w:pPr>
        <w:pStyle w:val="af0"/>
        <w:spacing w:beforeAutospacing="0" w:afterAutospacing="0" w:line="324" w:lineRule="auto"/>
        <w:ind w:left="2167" w:hanging="1680"/>
        <w:jc w:val="both"/>
        <w:rPr>
          <w:sz w:val="21"/>
          <w:szCs w:val="21"/>
        </w:rPr>
      </w:pPr>
      <w:r w:rsidRPr="008B4DBD">
        <w:rPr>
          <w:rStyle w:val="af1"/>
          <w:rFonts w:cs="Arial" w:hint="eastAsia"/>
          <w:sz w:val="21"/>
          <w:szCs w:val="21"/>
        </w:rPr>
        <w:t>绿色环保领域：</w:t>
      </w:r>
    </w:p>
    <w:p w:rsidR="008B4DBD" w:rsidRPr="008B4DBD" w:rsidRDefault="008B4DBD" w:rsidP="008B4DBD">
      <w:pPr>
        <w:widowControl/>
        <w:numPr>
          <w:ilvl w:val="0"/>
          <w:numId w:val="7"/>
        </w:numPr>
        <w:spacing w:before="0" w:after="0" w:line="324" w:lineRule="auto"/>
        <w:jc w:val="left"/>
        <w:rPr>
          <w:rFonts w:ascii="宋体" w:hAnsi="宋体" w:cs="宋体"/>
          <w:sz w:val="21"/>
          <w:szCs w:val="21"/>
        </w:rPr>
      </w:pPr>
      <w:r w:rsidRPr="008B4DBD">
        <w:rPr>
          <w:rFonts w:cs="Arial" w:hint="eastAsia"/>
          <w:sz w:val="21"/>
          <w:szCs w:val="21"/>
        </w:rPr>
        <w:t>工业污水处理装置的废水换热器、反应器、冷却器等设备，以及水处理蒸发系统撬装模块等</w:t>
      </w:r>
    </w:p>
    <w:p w:rsidR="008B4DBD" w:rsidRPr="008B4DBD" w:rsidRDefault="008B4DBD" w:rsidP="008B4DBD">
      <w:pPr>
        <w:pStyle w:val="af0"/>
        <w:spacing w:beforeAutospacing="0" w:afterAutospacing="0" w:line="324" w:lineRule="auto"/>
        <w:ind w:left="2167" w:hanging="1680"/>
        <w:jc w:val="both"/>
        <w:rPr>
          <w:sz w:val="21"/>
          <w:szCs w:val="21"/>
        </w:rPr>
      </w:pPr>
      <w:r w:rsidRPr="008B4DBD">
        <w:rPr>
          <w:rStyle w:val="af1"/>
          <w:rFonts w:cs="Arial" w:hint="eastAsia"/>
          <w:sz w:val="21"/>
          <w:szCs w:val="21"/>
        </w:rPr>
        <w:t>舰船及海洋工程装备领域：</w:t>
      </w:r>
    </w:p>
    <w:p w:rsidR="008B4DBD" w:rsidRPr="008B4DBD" w:rsidRDefault="008B4DBD" w:rsidP="008B4DBD">
      <w:pPr>
        <w:widowControl/>
        <w:numPr>
          <w:ilvl w:val="0"/>
          <w:numId w:val="8"/>
        </w:numPr>
        <w:spacing w:before="0" w:after="0" w:line="324" w:lineRule="auto"/>
        <w:jc w:val="left"/>
        <w:rPr>
          <w:rFonts w:ascii="宋体" w:hAnsi="宋体" w:cs="宋体"/>
          <w:sz w:val="21"/>
          <w:szCs w:val="21"/>
        </w:rPr>
      </w:pPr>
      <w:r w:rsidRPr="008B4DBD">
        <w:rPr>
          <w:rFonts w:cs="Arial" w:hint="eastAsia"/>
          <w:sz w:val="21"/>
          <w:szCs w:val="21"/>
        </w:rPr>
        <w:t>舰船用大型结构件、大型容器</w:t>
      </w:r>
    </w:p>
    <w:p w:rsidR="008B4DBD" w:rsidRPr="008B4DBD" w:rsidRDefault="008B4DBD" w:rsidP="008B4DBD">
      <w:pPr>
        <w:widowControl/>
        <w:numPr>
          <w:ilvl w:val="0"/>
          <w:numId w:val="8"/>
        </w:numPr>
        <w:spacing w:before="0" w:after="0" w:line="324" w:lineRule="auto"/>
        <w:jc w:val="left"/>
        <w:rPr>
          <w:rFonts w:asciiTheme="minorHAnsi" w:hAnsiTheme="minorHAnsi" w:cstheme="minorBidi"/>
          <w:sz w:val="21"/>
          <w:szCs w:val="21"/>
        </w:rPr>
      </w:pPr>
      <w:r w:rsidRPr="008B4DBD">
        <w:rPr>
          <w:rFonts w:cs="Arial" w:hint="eastAsia"/>
          <w:sz w:val="21"/>
          <w:szCs w:val="21"/>
        </w:rPr>
        <w:t>深潜器附属装备</w:t>
      </w:r>
    </w:p>
    <w:p w:rsidR="008B4DBD" w:rsidRPr="008B4DBD" w:rsidRDefault="008B4DBD" w:rsidP="008B4DBD">
      <w:pPr>
        <w:widowControl/>
        <w:numPr>
          <w:ilvl w:val="0"/>
          <w:numId w:val="8"/>
        </w:numPr>
        <w:spacing w:before="0" w:after="0" w:line="324" w:lineRule="auto"/>
        <w:jc w:val="left"/>
        <w:rPr>
          <w:sz w:val="21"/>
          <w:szCs w:val="21"/>
        </w:rPr>
      </w:pPr>
      <w:r w:rsidRPr="008B4DBD">
        <w:rPr>
          <w:rFonts w:cs="Arial" w:hint="eastAsia"/>
          <w:sz w:val="21"/>
          <w:szCs w:val="21"/>
        </w:rPr>
        <w:t>深海用高强度钛合金大型耐压结构件等</w:t>
      </w:r>
    </w:p>
    <w:p w:rsidR="008B4DBD" w:rsidRPr="008B4DBD" w:rsidRDefault="008B4DBD" w:rsidP="008B4DBD">
      <w:pPr>
        <w:widowControl/>
        <w:numPr>
          <w:ilvl w:val="0"/>
          <w:numId w:val="8"/>
        </w:numPr>
        <w:spacing w:before="0" w:after="0" w:line="324" w:lineRule="auto"/>
        <w:jc w:val="left"/>
        <w:rPr>
          <w:sz w:val="21"/>
          <w:szCs w:val="21"/>
        </w:rPr>
      </w:pPr>
      <w:r w:rsidRPr="008B4DBD">
        <w:rPr>
          <w:rFonts w:cs="Arial" w:hint="eastAsia"/>
          <w:sz w:val="21"/>
          <w:szCs w:val="21"/>
        </w:rPr>
        <w:t>民船用钛材洗涤塔</w:t>
      </w:r>
    </w:p>
    <w:p w:rsidR="008B4DBD" w:rsidRPr="008B4DBD" w:rsidRDefault="008B4DBD" w:rsidP="008B4DBD">
      <w:pPr>
        <w:pStyle w:val="af0"/>
        <w:spacing w:beforeAutospacing="0" w:afterAutospacing="0" w:line="324" w:lineRule="auto"/>
        <w:ind w:left="2167" w:hanging="1680"/>
        <w:jc w:val="both"/>
        <w:rPr>
          <w:sz w:val="21"/>
          <w:szCs w:val="21"/>
        </w:rPr>
      </w:pPr>
      <w:r w:rsidRPr="008B4DBD">
        <w:rPr>
          <w:rStyle w:val="af1"/>
          <w:rFonts w:cs="Arial" w:hint="eastAsia"/>
          <w:sz w:val="21"/>
          <w:szCs w:val="21"/>
        </w:rPr>
        <w:t>航空航天相关配套领域：</w:t>
      </w:r>
    </w:p>
    <w:p w:rsidR="008B4DBD" w:rsidRPr="008B4DBD" w:rsidRDefault="008B4DBD" w:rsidP="008B4DBD">
      <w:pPr>
        <w:widowControl/>
        <w:numPr>
          <w:ilvl w:val="0"/>
          <w:numId w:val="9"/>
        </w:numPr>
        <w:spacing w:before="0" w:after="0" w:line="324" w:lineRule="auto"/>
        <w:jc w:val="left"/>
        <w:rPr>
          <w:rFonts w:ascii="宋体" w:hAnsi="宋体" w:cs="宋体"/>
          <w:sz w:val="21"/>
          <w:szCs w:val="21"/>
        </w:rPr>
      </w:pPr>
      <w:r w:rsidRPr="008B4DBD">
        <w:rPr>
          <w:rFonts w:cs="Arial" w:hint="eastAsia"/>
          <w:sz w:val="21"/>
          <w:szCs w:val="21"/>
        </w:rPr>
        <w:t>航空发动机高温高压燃烧室试验器高温镍基合金焊接设备及管道等组件</w:t>
      </w:r>
    </w:p>
    <w:p w:rsidR="00326086" w:rsidRDefault="00040B85" w:rsidP="00E06F28">
      <w:pPr>
        <w:autoSpaceDE w:val="0"/>
        <w:autoSpaceDN w:val="0"/>
        <w:spacing w:beforeLines="15" w:before="46" w:after="0" w:line="324" w:lineRule="auto"/>
        <w:ind w:left="420"/>
        <w:rPr>
          <w:rFonts w:ascii="Arial" w:hAnsi="宋体" w:cs="Arial"/>
          <w:sz w:val="21"/>
          <w:szCs w:val="21"/>
          <w:lang w:val="zh-CN"/>
        </w:rPr>
      </w:pPr>
      <w:r w:rsidRPr="00040B85">
        <w:rPr>
          <w:rFonts w:ascii="Arial" w:hAnsi="宋体" w:cs="Arial" w:hint="eastAsia"/>
          <w:sz w:val="21"/>
          <w:szCs w:val="21"/>
          <w:lang w:val="zh-CN"/>
        </w:rPr>
        <w:t>近几年公司相关领域的部分代表产品如下图所示：</w:t>
      </w:r>
    </w:p>
    <w:tbl>
      <w:tblPr>
        <w:tblW w:w="4883" w:type="pct"/>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4A0" w:firstRow="1" w:lastRow="0" w:firstColumn="1" w:lastColumn="0" w:noHBand="0" w:noVBand="1"/>
      </w:tblPr>
      <w:tblGrid>
        <w:gridCol w:w="1553"/>
        <w:gridCol w:w="4111"/>
        <w:gridCol w:w="3959"/>
      </w:tblGrid>
      <w:tr w:rsidR="008B4DBD" w:rsidTr="008B4DBD">
        <w:trPr>
          <w:trHeight w:val="482"/>
          <w:tblHeader/>
          <w:jc w:val="center"/>
        </w:trPr>
        <w:tc>
          <w:tcPr>
            <w:tcW w:w="807" w:type="pct"/>
            <w:shd w:val="clear" w:color="auto" w:fill="7F7F7F"/>
            <w:vAlign w:val="center"/>
          </w:tcPr>
          <w:p w:rsidR="008B4DBD" w:rsidRDefault="008B4DBD" w:rsidP="008B4DBD">
            <w:pPr>
              <w:pStyle w:val="af"/>
              <w:rPr>
                <w:rFonts w:ascii="Arial" w:eastAsia="宋体" w:hAnsi="Arial" w:cs="Arial"/>
                <w:kern w:val="2"/>
                <w:sz w:val="21"/>
                <w:szCs w:val="21"/>
              </w:rPr>
            </w:pPr>
            <w:r>
              <w:rPr>
                <w:rFonts w:ascii="Arial" w:eastAsia="宋体" w:hAnsi="Arial" w:cs="Arial" w:hint="eastAsia"/>
                <w:kern w:val="2"/>
                <w:sz w:val="21"/>
                <w:szCs w:val="21"/>
              </w:rPr>
              <w:t>应用领域</w:t>
            </w:r>
          </w:p>
        </w:tc>
        <w:tc>
          <w:tcPr>
            <w:tcW w:w="4193" w:type="pct"/>
            <w:gridSpan w:val="2"/>
            <w:shd w:val="clear" w:color="auto" w:fill="7F7F7F"/>
            <w:vAlign w:val="center"/>
          </w:tcPr>
          <w:p w:rsidR="008B4DBD" w:rsidRDefault="008B4DBD" w:rsidP="008B4DBD">
            <w:pPr>
              <w:pStyle w:val="af"/>
              <w:rPr>
                <w:rFonts w:ascii="Arial" w:eastAsia="宋体" w:hAnsi="Arial" w:cs="Arial"/>
                <w:kern w:val="2"/>
                <w:sz w:val="21"/>
                <w:szCs w:val="21"/>
              </w:rPr>
            </w:pPr>
            <w:r>
              <w:rPr>
                <w:rFonts w:ascii="Arial" w:eastAsia="宋体" w:hAnsi="Arial" w:cs="Arial" w:hint="eastAsia"/>
                <w:kern w:val="2"/>
                <w:sz w:val="21"/>
                <w:szCs w:val="21"/>
              </w:rPr>
              <w:t>部分</w:t>
            </w:r>
            <w:r>
              <w:rPr>
                <w:rFonts w:ascii="Arial" w:eastAsia="宋体" w:hAnsi="Arial" w:cs="Arial"/>
                <w:kern w:val="2"/>
                <w:sz w:val="21"/>
                <w:szCs w:val="21"/>
              </w:rPr>
              <w:t>实例图片</w:t>
            </w:r>
          </w:p>
        </w:tc>
      </w:tr>
      <w:tr w:rsidR="008B4DBD" w:rsidTr="008B4DBD">
        <w:trPr>
          <w:trHeight w:val="482"/>
          <w:jc w:val="center"/>
        </w:trPr>
        <w:tc>
          <w:tcPr>
            <w:tcW w:w="807" w:type="pct"/>
            <w:vAlign w:val="center"/>
          </w:tcPr>
          <w:p w:rsidR="008B4DBD" w:rsidRDefault="008B4DBD" w:rsidP="008B4DBD">
            <w:pPr>
              <w:pStyle w:val="ae"/>
              <w:rPr>
                <w:rFonts w:ascii="Arial" w:eastAsia="宋体" w:hAnsi="Arial" w:cs="Arial"/>
                <w:b/>
                <w:kern w:val="2"/>
                <w:sz w:val="21"/>
                <w:szCs w:val="21"/>
              </w:rPr>
            </w:pPr>
            <w:r>
              <w:rPr>
                <w:rFonts w:ascii="Arial" w:eastAsia="宋体" w:hAnsi="Arial" w:cs="Arial"/>
                <w:b/>
                <w:kern w:val="2"/>
                <w:sz w:val="21"/>
                <w:szCs w:val="21"/>
              </w:rPr>
              <w:t>化工</w:t>
            </w:r>
          </w:p>
        </w:tc>
        <w:tc>
          <w:tcPr>
            <w:tcW w:w="2136" w:type="pct"/>
            <w:vAlign w:val="center"/>
          </w:tcPr>
          <w:p w:rsidR="008B4DBD" w:rsidRDefault="008B4DBD" w:rsidP="008B4DBD">
            <w:pPr>
              <w:pStyle w:val="ae"/>
              <w:rPr>
                <w:rFonts w:ascii="Arial" w:eastAsia="宋体" w:hAnsi="Arial" w:cs="Arial"/>
                <w:b/>
                <w:color w:val="auto"/>
                <w:kern w:val="2"/>
                <w:sz w:val="21"/>
                <w:szCs w:val="21"/>
              </w:rPr>
            </w:pPr>
          </w:p>
        </w:tc>
        <w:tc>
          <w:tcPr>
            <w:tcW w:w="2057" w:type="pct"/>
            <w:vAlign w:val="center"/>
          </w:tcPr>
          <w:p w:rsidR="008B4DBD" w:rsidRDefault="008B4DBD" w:rsidP="008B4DBD">
            <w:pPr>
              <w:pStyle w:val="af"/>
              <w:ind w:leftChars="-60" w:left="-108"/>
              <w:jc w:val="left"/>
              <w:rPr>
                <w:rFonts w:ascii="Arial" w:eastAsia="宋体" w:hAnsi="Arial" w:cs="Arial"/>
                <w:color w:val="000000"/>
                <w:kern w:val="2"/>
                <w:sz w:val="21"/>
                <w:szCs w:val="21"/>
              </w:rPr>
            </w:pPr>
          </w:p>
        </w:tc>
      </w:tr>
      <w:tr w:rsidR="008B4DBD" w:rsidTr="008B4DBD">
        <w:trPr>
          <w:trHeight w:val="2384"/>
          <w:jc w:val="center"/>
        </w:trPr>
        <w:tc>
          <w:tcPr>
            <w:tcW w:w="807" w:type="pct"/>
            <w:vMerge w:val="restart"/>
            <w:vAlign w:val="center"/>
          </w:tcPr>
          <w:p w:rsidR="008B4DBD" w:rsidRDefault="008B4DBD" w:rsidP="008B4DBD">
            <w:pPr>
              <w:spacing w:line="300" w:lineRule="auto"/>
              <w:jc w:val="center"/>
              <w:rPr>
                <w:b/>
              </w:rPr>
            </w:pPr>
            <w:r>
              <w:rPr>
                <w:b/>
              </w:rPr>
              <w:t>PTA</w:t>
            </w:r>
          </w:p>
        </w:tc>
        <w:tc>
          <w:tcPr>
            <w:tcW w:w="2136" w:type="pct"/>
            <w:vAlign w:val="center"/>
          </w:tcPr>
          <w:p w:rsidR="008B4DBD" w:rsidRDefault="008B4DBD" w:rsidP="008B4DBD">
            <w:pPr>
              <w:pStyle w:val="ae"/>
              <w:rPr>
                <w:rFonts w:ascii="Arial" w:eastAsia="宋体" w:hAnsi="Arial" w:cs="Arial"/>
                <w:kern w:val="2"/>
                <w:sz w:val="21"/>
                <w:szCs w:val="21"/>
              </w:rPr>
            </w:pPr>
            <w:r>
              <w:rPr>
                <w:rFonts w:ascii="Arial" w:eastAsia="宋体" w:hAnsi="Arial" w:cs="Arial"/>
                <w:noProof/>
                <w:kern w:val="2"/>
                <w:sz w:val="21"/>
                <w:szCs w:val="21"/>
              </w:rPr>
              <w:drawing>
                <wp:inline distT="0" distB="0" distL="0" distR="0">
                  <wp:extent cx="2500302" cy="138049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a:extLst>
                              <a:ext uri="{28A0092B-C50C-407E-A947-70E740481C1C}">
                                <a14:useLocalDpi xmlns:a14="http://schemas.microsoft.com/office/drawing/2010/main" val="0"/>
                              </a:ext>
                            </a:extLst>
                          </a:blip>
                          <a:srcRect t="7874"/>
                          <a:stretch>
                            <a:fillRect/>
                          </a:stretch>
                        </pic:blipFill>
                        <pic:spPr>
                          <a:xfrm>
                            <a:off x="0" y="0"/>
                            <a:ext cx="2501683" cy="1381253"/>
                          </a:xfrm>
                          <a:prstGeom prst="rect">
                            <a:avLst/>
                          </a:prstGeom>
                          <a:noFill/>
                          <a:ln>
                            <a:noFill/>
                          </a:ln>
                        </pic:spPr>
                      </pic:pic>
                    </a:graphicData>
                  </a:graphic>
                </wp:inline>
              </w:drawing>
            </w:r>
          </w:p>
        </w:tc>
        <w:tc>
          <w:tcPr>
            <w:tcW w:w="2057" w:type="pct"/>
            <w:vAlign w:val="center"/>
          </w:tcPr>
          <w:p w:rsidR="008B4DBD" w:rsidRDefault="008B4DBD" w:rsidP="008B4DBD">
            <w:pPr>
              <w:pStyle w:val="af"/>
              <w:rPr>
                <w:rFonts w:ascii="Arial" w:eastAsia="宋体" w:hAnsi="Arial" w:cs="Arial"/>
                <w:b w:val="0"/>
                <w:color w:val="000000"/>
                <w:kern w:val="2"/>
                <w:sz w:val="21"/>
                <w:szCs w:val="21"/>
              </w:rPr>
            </w:pPr>
            <w:r>
              <w:rPr>
                <w:rFonts w:ascii="Arial" w:eastAsia="宋体" w:hAnsi="Arial" w:cs="Arial"/>
                <w:b w:val="0"/>
                <w:noProof/>
                <w:color w:val="000000"/>
                <w:kern w:val="2"/>
                <w:sz w:val="21"/>
                <w:szCs w:val="21"/>
              </w:rPr>
              <w:drawing>
                <wp:inline distT="0" distB="0" distL="0" distR="0">
                  <wp:extent cx="2387600" cy="1466891"/>
                  <wp:effectExtent l="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cstate="print">
                            <a:extLst>
                              <a:ext uri="{28A0092B-C50C-407E-A947-70E740481C1C}">
                                <a14:useLocalDpi xmlns:a14="http://schemas.microsoft.com/office/drawing/2010/main" val="0"/>
                              </a:ext>
                            </a:extLst>
                          </a:blip>
                          <a:srcRect t="4836"/>
                          <a:stretch>
                            <a:fillRect/>
                          </a:stretch>
                        </pic:blipFill>
                        <pic:spPr>
                          <a:xfrm>
                            <a:off x="0" y="0"/>
                            <a:ext cx="2390707" cy="1468800"/>
                          </a:xfrm>
                          <a:prstGeom prst="rect">
                            <a:avLst/>
                          </a:prstGeom>
                          <a:ln>
                            <a:noFill/>
                          </a:ln>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e"/>
              <w:rPr>
                <w:rFonts w:ascii="Arial" w:eastAsia="宋体" w:hAnsi="Arial" w:cs="Arial"/>
                <w:b/>
                <w:kern w:val="2"/>
                <w:sz w:val="21"/>
                <w:szCs w:val="21"/>
              </w:rPr>
            </w:pPr>
          </w:p>
        </w:tc>
        <w:tc>
          <w:tcPr>
            <w:tcW w:w="2136" w:type="pct"/>
            <w:vAlign w:val="center"/>
          </w:tcPr>
          <w:p w:rsidR="008B4DBD" w:rsidRDefault="008B4DBD" w:rsidP="008B4DBD">
            <w:pPr>
              <w:pStyle w:val="ae"/>
              <w:rPr>
                <w:rFonts w:ascii="宋体" w:eastAsia="宋体" w:hAnsi="宋体" w:cs="Arial"/>
                <w:b/>
                <w:kern w:val="2"/>
                <w:sz w:val="21"/>
                <w:szCs w:val="21"/>
              </w:rPr>
            </w:pPr>
            <w:r>
              <w:rPr>
                <w:rFonts w:ascii="宋体" w:eastAsia="宋体" w:hAnsi="宋体" w:cs="Arial"/>
                <w:b/>
                <w:kern w:val="2"/>
                <w:sz w:val="21"/>
                <w:szCs w:val="21"/>
              </w:rPr>
              <w:t xml:space="preserve">钛钢复合板氧化反应器 </w:t>
            </w:r>
          </w:p>
        </w:tc>
        <w:tc>
          <w:tcPr>
            <w:tcW w:w="2057" w:type="pct"/>
            <w:vAlign w:val="center"/>
          </w:tcPr>
          <w:p w:rsidR="008B4DBD" w:rsidRDefault="008B4DBD" w:rsidP="008B4DBD">
            <w:pPr>
              <w:pStyle w:val="af"/>
              <w:ind w:leftChars="-60" w:left="-108"/>
              <w:rPr>
                <w:rFonts w:ascii="宋体" w:eastAsia="宋体" w:hAnsi="宋体" w:cs="Arial"/>
                <w:color w:val="000000"/>
                <w:kern w:val="2"/>
                <w:sz w:val="21"/>
                <w:szCs w:val="21"/>
              </w:rPr>
            </w:pPr>
            <w:r>
              <w:rPr>
                <w:rFonts w:ascii="宋体" w:eastAsia="宋体" w:hAnsi="宋体" w:cs="Arial" w:hint="eastAsia"/>
                <w:color w:val="auto"/>
                <w:kern w:val="2"/>
                <w:sz w:val="21"/>
                <w:szCs w:val="21"/>
              </w:rPr>
              <w:t>钛钢</w:t>
            </w:r>
            <w:r>
              <w:rPr>
                <w:rFonts w:ascii="宋体" w:eastAsia="宋体" w:hAnsi="宋体" w:cs="Arial"/>
                <w:color w:val="auto"/>
                <w:kern w:val="2"/>
                <w:sz w:val="21"/>
                <w:szCs w:val="21"/>
              </w:rPr>
              <w:t>复合板氧化</w:t>
            </w:r>
            <w:r>
              <w:rPr>
                <w:rFonts w:ascii="宋体" w:eastAsia="宋体" w:hAnsi="宋体" w:cs="Arial" w:hint="eastAsia"/>
                <w:color w:val="auto"/>
                <w:kern w:val="2"/>
                <w:sz w:val="21"/>
                <w:szCs w:val="21"/>
              </w:rPr>
              <w:t>反应器</w:t>
            </w:r>
          </w:p>
        </w:tc>
      </w:tr>
      <w:tr w:rsidR="008B4DBD" w:rsidTr="008B4DBD">
        <w:trPr>
          <w:trHeight w:val="2482"/>
          <w:jc w:val="center"/>
        </w:trPr>
        <w:tc>
          <w:tcPr>
            <w:tcW w:w="807" w:type="pct"/>
            <w:vMerge/>
            <w:vAlign w:val="center"/>
          </w:tcPr>
          <w:p w:rsidR="008B4DBD" w:rsidRDefault="008B4DBD" w:rsidP="008B4DBD">
            <w:pPr>
              <w:pStyle w:val="ae"/>
              <w:rPr>
                <w:rFonts w:ascii="Arial" w:eastAsia="宋体" w:hAnsi="Arial" w:cs="Arial"/>
                <w:b/>
                <w:kern w:val="2"/>
                <w:sz w:val="21"/>
                <w:szCs w:val="21"/>
              </w:rPr>
            </w:pPr>
          </w:p>
        </w:tc>
        <w:tc>
          <w:tcPr>
            <w:tcW w:w="2136" w:type="pct"/>
            <w:vAlign w:val="center"/>
          </w:tcPr>
          <w:p w:rsidR="008B4DBD" w:rsidRDefault="008B4DBD" w:rsidP="008B4DBD">
            <w:pPr>
              <w:pStyle w:val="ae"/>
              <w:rPr>
                <w:rFonts w:ascii="Arial" w:eastAsia="宋体" w:hAnsi="Arial" w:cs="Arial"/>
                <w:kern w:val="2"/>
                <w:sz w:val="21"/>
                <w:szCs w:val="21"/>
              </w:rPr>
            </w:pPr>
            <w:r>
              <w:rPr>
                <w:rFonts w:ascii="Arial" w:eastAsia="宋体" w:hAnsi="Arial" w:cs="Arial"/>
                <w:b/>
                <w:noProof/>
                <w:kern w:val="2"/>
                <w:sz w:val="21"/>
                <w:szCs w:val="21"/>
              </w:rPr>
              <w:drawing>
                <wp:inline distT="0" distB="0" distL="0" distR="0">
                  <wp:extent cx="2552164" cy="1473200"/>
                  <wp:effectExtent l="0" t="0" r="63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0">
                            <a:extLst>
                              <a:ext uri="{28A0092B-C50C-407E-A947-70E740481C1C}">
                                <a14:useLocalDpi xmlns:a14="http://schemas.microsoft.com/office/drawing/2010/main" val="0"/>
                              </a:ext>
                            </a:extLst>
                          </a:blip>
                          <a:srcRect t="9755" r="12381"/>
                          <a:stretch>
                            <a:fillRect/>
                          </a:stretch>
                        </pic:blipFill>
                        <pic:spPr>
                          <a:xfrm>
                            <a:off x="0" y="0"/>
                            <a:ext cx="2556936" cy="1475955"/>
                          </a:xfrm>
                          <a:prstGeom prst="rect">
                            <a:avLst/>
                          </a:prstGeom>
                          <a:noFill/>
                          <a:ln>
                            <a:noFill/>
                          </a:ln>
                        </pic:spPr>
                      </pic:pic>
                    </a:graphicData>
                  </a:graphic>
                </wp:inline>
              </w:drawing>
            </w:r>
          </w:p>
        </w:tc>
        <w:tc>
          <w:tcPr>
            <w:tcW w:w="2057" w:type="pct"/>
            <w:vAlign w:val="center"/>
          </w:tcPr>
          <w:p w:rsidR="008B4DBD" w:rsidRDefault="008B4DBD" w:rsidP="008B4DBD">
            <w:pPr>
              <w:pStyle w:val="af"/>
              <w:rPr>
                <w:rFonts w:ascii="Arial" w:eastAsia="宋体" w:hAnsi="Arial" w:cs="Arial"/>
                <w:b w:val="0"/>
                <w:color w:val="000000"/>
                <w:kern w:val="2"/>
                <w:sz w:val="21"/>
                <w:szCs w:val="21"/>
              </w:rPr>
            </w:pPr>
            <w:r>
              <w:rPr>
                <w:rFonts w:ascii="Arial" w:eastAsia="宋体" w:hAnsi="Arial" w:cs="Arial"/>
                <w:b w:val="0"/>
                <w:noProof/>
                <w:color w:val="000000"/>
                <w:kern w:val="2"/>
                <w:sz w:val="21"/>
                <w:szCs w:val="21"/>
              </w:rPr>
              <w:drawing>
                <wp:inline distT="0" distB="0" distL="0" distR="0">
                  <wp:extent cx="2445898" cy="1543050"/>
                  <wp:effectExtent l="0" t="0" r="0" b="0"/>
                  <wp:docPr id="28" name="图片 24" descr="C:\Users\刘冰姿\Documents\WeChat Files\wxid_ovgj4qn274ft22\FileStorage\Temp\b21c4b13967cdd4eef1663dd1f2d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C:\Users\刘冰姿\Documents\WeChat Files\wxid_ovgj4qn274ft22\FileStorage\Temp\b21c4b13967cdd4eef1663dd1f2d091.jpg"/>
                          <pic:cNvPicPr>
                            <a:picLocks noChangeAspect="1" noChangeArrowheads="1"/>
                          </pic:cNvPicPr>
                        </pic:nvPicPr>
                        <pic:blipFill>
                          <a:blip r:embed="rId11">
                            <a:extLst>
                              <a:ext uri="{28A0092B-C50C-407E-A947-70E740481C1C}">
                                <a14:useLocalDpi xmlns:a14="http://schemas.microsoft.com/office/drawing/2010/main" val="0"/>
                              </a:ext>
                            </a:extLst>
                          </a:blip>
                          <a:srcRect t="12185" r="455"/>
                          <a:stretch>
                            <a:fillRect/>
                          </a:stretch>
                        </pic:blipFill>
                        <pic:spPr>
                          <a:xfrm>
                            <a:off x="0" y="0"/>
                            <a:ext cx="2455087" cy="1548847"/>
                          </a:xfrm>
                          <a:prstGeom prst="rect">
                            <a:avLst/>
                          </a:prstGeom>
                          <a:noFill/>
                          <a:ln>
                            <a:noFill/>
                          </a:ln>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e"/>
              <w:rPr>
                <w:rFonts w:ascii="Arial" w:eastAsia="宋体" w:hAnsi="Arial" w:cs="Arial"/>
                <w:b/>
                <w:kern w:val="2"/>
                <w:sz w:val="21"/>
                <w:szCs w:val="21"/>
              </w:rPr>
            </w:pPr>
          </w:p>
        </w:tc>
        <w:tc>
          <w:tcPr>
            <w:tcW w:w="2136" w:type="pct"/>
            <w:vAlign w:val="center"/>
          </w:tcPr>
          <w:p w:rsidR="008B4DBD" w:rsidRDefault="008B4DBD" w:rsidP="008B4DBD">
            <w:pPr>
              <w:pStyle w:val="ae"/>
              <w:rPr>
                <w:rFonts w:ascii="Arial" w:eastAsia="宋体" w:hAnsi="Arial" w:cs="Arial"/>
                <w:b/>
                <w:kern w:val="2"/>
                <w:sz w:val="21"/>
                <w:szCs w:val="21"/>
              </w:rPr>
            </w:pPr>
            <w:r>
              <w:rPr>
                <w:rFonts w:ascii="宋体" w:eastAsia="宋体" w:hAnsi="宋体" w:cs="Arial"/>
                <w:b/>
                <w:kern w:val="2"/>
                <w:sz w:val="21"/>
                <w:szCs w:val="21"/>
              </w:rPr>
              <w:t>钛钢复合板</w:t>
            </w:r>
            <w:r>
              <w:rPr>
                <w:rFonts w:ascii="宋体" w:eastAsia="宋体" w:hAnsi="宋体" w:cs="Arial" w:hint="eastAsia"/>
                <w:b/>
                <w:kern w:val="2"/>
                <w:sz w:val="21"/>
                <w:szCs w:val="21"/>
              </w:rPr>
              <w:t>脱水塔</w:t>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hint="eastAsia"/>
                <w:color w:val="000000"/>
                <w:kern w:val="2"/>
                <w:sz w:val="21"/>
                <w:szCs w:val="21"/>
              </w:rPr>
              <w:t>钛钢</w:t>
            </w:r>
            <w:r>
              <w:rPr>
                <w:rFonts w:ascii="Arial" w:eastAsia="宋体" w:hAnsi="Arial" w:cs="Arial"/>
                <w:color w:val="000000"/>
                <w:kern w:val="2"/>
                <w:sz w:val="21"/>
                <w:szCs w:val="21"/>
              </w:rPr>
              <w:t>复合板高压</w:t>
            </w:r>
            <w:r>
              <w:rPr>
                <w:rFonts w:ascii="Arial" w:eastAsia="宋体" w:hAnsi="Arial" w:cs="Arial" w:hint="eastAsia"/>
                <w:color w:val="000000"/>
                <w:kern w:val="2"/>
                <w:sz w:val="21"/>
                <w:szCs w:val="21"/>
              </w:rPr>
              <w:t>精馏塔</w:t>
            </w:r>
          </w:p>
        </w:tc>
      </w:tr>
      <w:tr w:rsidR="008B4DBD" w:rsidTr="008B4DBD">
        <w:trPr>
          <w:trHeight w:val="2496"/>
          <w:jc w:val="center"/>
        </w:trPr>
        <w:tc>
          <w:tcPr>
            <w:tcW w:w="807" w:type="pct"/>
            <w:vMerge/>
            <w:vAlign w:val="center"/>
          </w:tcPr>
          <w:p w:rsidR="008B4DBD" w:rsidRDefault="008B4DBD" w:rsidP="008B4DBD">
            <w:pPr>
              <w:pStyle w:val="ae"/>
              <w:rPr>
                <w:rFonts w:ascii="Arial" w:eastAsia="宋体" w:hAnsi="Arial" w:cs="Arial"/>
                <w:b/>
                <w:kern w:val="2"/>
                <w:sz w:val="21"/>
                <w:szCs w:val="21"/>
              </w:rPr>
            </w:pPr>
          </w:p>
        </w:tc>
        <w:tc>
          <w:tcPr>
            <w:tcW w:w="2136" w:type="pct"/>
            <w:vAlign w:val="center"/>
          </w:tcPr>
          <w:p w:rsidR="008B4DBD" w:rsidRDefault="008B4DBD" w:rsidP="008B4DBD">
            <w:pPr>
              <w:pStyle w:val="ae"/>
              <w:rPr>
                <w:rFonts w:ascii="宋体" w:eastAsia="宋体" w:hAnsi="宋体" w:cs="Arial"/>
                <w:b/>
                <w:kern w:val="2"/>
                <w:sz w:val="21"/>
                <w:szCs w:val="21"/>
              </w:rPr>
            </w:pPr>
            <w:r>
              <w:rPr>
                <w:rFonts w:ascii="Arial" w:eastAsia="宋体" w:hAnsi="Arial" w:cs="Arial" w:hint="eastAsia"/>
                <w:noProof/>
                <w:kern w:val="2"/>
                <w:sz w:val="21"/>
                <w:szCs w:val="21"/>
              </w:rPr>
              <w:drawing>
                <wp:inline distT="0" distB="0" distL="0" distR="0">
                  <wp:extent cx="2524125" cy="1537970"/>
                  <wp:effectExtent l="0" t="0" r="0"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5820" cy="1539467"/>
                          </a:xfrm>
                          <a:prstGeom prst="rect">
                            <a:avLst/>
                          </a:prstGeom>
                        </pic:spPr>
                      </pic:pic>
                    </a:graphicData>
                  </a:graphic>
                </wp:inline>
              </w:drawing>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noProof/>
                <w:kern w:val="2"/>
                <w:sz w:val="21"/>
                <w:szCs w:val="21"/>
              </w:rPr>
              <w:drawing>
                <wp:inline distT="0" distB="0" distL="0" distR="0">
                  <wp:extent cx="2501900" cy="1541869"/>
                  <wp:effectExtent l="0" t="0" r="0" b="1270"/>
                  <wp:docPr id="27" name="图片 67" descr="11815e65888f3f820db5565bfe57a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7" descr="11815e65888f3f820db5565bfe57ae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02888" cy="1542478"/>
                          </a:xfrm>
                          <a:prstGeom prst="rect">
                            <a:avLst/>
                          </a:prstGeom>
                          <a:noFill/>
                          <a:ln>
                            <a:noFill/>
                          </a:ln>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e"/>
              <w:rPr>
                <w:rFonts w:ascii="Arial" w:eastAsia="宋体" w:hAnsi="Arial" w:cs="Arial"/>
                <w:b/>
                <w:kern w:val="2"/>
                <w:sz w:val="21"/>
                <w:szCs w:val="21"/>
              </w:rPr>
            </w:pPr>
          </w:p>
        </w:tc>
        <w:tc>
          <w:tcPr>
            <w:tcW w:w="2136" w:type="pct"/>
            <w:vAlign w:val="center"/>
          </w:tcPr>
          <w:p w:rsidR="008B4DBD" w:rsidRDefault="008B4DBD" w:rsidP="008B4DBD">
            <w:pPr>
              <w:pStyle w:val="af"/>
              <w:ind w:leftChars="-60" w:left="-108"/>
              <w:rPr>
                <w:rFonts w:ascii="Arial" w:eastAsia="宋体" w:hAnsi="Arial" w:cs="Arial" w:hint="eastAsia"/>
                <w:color w:val="auto"/>
                <w:kern w:val="2"/>
                <w:sz w:val="21"/>
                <w:szCs w:val="21"/>
              </w:rPr>
            </w:pPr>
            <w:r>
              <w:rPr>
                <w:rFonts w:ascii="Arial" w:eastAsia="宋体" w:hAnsi="Arial" w:cs="Arial" w:hint="eastAsia"/>
                <w:color w:val="auto"/>
                <w:kern w:val="2"/>
                <w:sz w:val="21"/>
                <w:szCs w:val="21"/>
              </w:rPr>
              <w:t>钛钢</w:t>
            </w:r>
            <w:r w:rsidR="006B4FF2">
              <w:rPr>
                <w:rFonts w:ascii="Arial" w:eastAsia="宋体" w:hAnsi="Arial" w:cs="Arial"/>
                <w:color w:val="auto"/>
                <w:kern w:val="2"/>
                <w:sz w:val="21"/>
                <w:szCs w:val="21"/>
              </w:rPr>
              <w:t>复合板二级精馏塔</w:t>
            </w:r>
          </w:p>
        </w:tc>
        <w:tc>
          <w:tcPr>
            <w:tcW w:w="2057" w:type="pct"/>
            <w:vAlign w:val="center"/>
          </w:tcPr>
          <w:p w:rsidR="008B4DBD" w:rsidRDefault="008B4DBD" w:rsidP="008B4DBD">
            <w:pPr>
              <w:pStyle w:val="af"/>
              <w:ind w:leftChars="-60" w:left="-108"/>
              <w:rPr>
                <w:rFonts w:ascii="Arial" w:eastAsia="宋体" w:hAnsi="Arial" w:cs="Arial"/>
                <w:color w:val="auto"/>
                <w:kern w:val="2"/>
                <w:sz w:val="21"/>
                <w:szCs w:val="21"/>
              </w:rPr>
            </w:pPr>
            <w:r>
              <w:rPr>
                <w:rFonts w:ascii="Arial" w:eastAsia="宋体" w:hAnsi="Arial" w:cs="Arial" w:hint="eastAsia"/>
                <w:color w:val="auto"/>
                <w:kern w:val="2"/>
                <w:sz w:val="21"/>
                <w:szCs w:val="21"/>
              </w:rPr>
              <w:t>钛材</w:t>
            </w:r>
            <w:r>
              <w:rPr>
                <w:rFonts w:ascii="Arial" w:eastAsia="宋体" w:hAnsi="Arial" w:cs="Arial"/>
                <w:color w:val="auto"/>
                <w:kern w:val="2"/>
                <w:sz w:val="21"/>
                <w:szCs w:val="21"/>
              </w:rPr>
              <w:t>冷凝器</w:t>
            </w:r>
          </w:p>
        </w:tc>
      </w:tr>
      <w:tr w:rsidR="008B4DBD" w:rsidTr="008B4DBD">
        <w:trPr>
          <w:trHeight w:val="2327"/>
          <w:jc w:val="center"/>
        </w:trPr>
        <w:tc>
          <w:tcPr>
            <w:tcW w:w="807" w:type="pct"/>
            <w:vMerge w:val="restart"/>
            <w:vAlign w:val="center"/>
          </w:tcPr>
          <w:p w:rsidR="008B4DBD" w:rsidRDefault="008B4DBD" w:rsidP="008B4DBD">
            <w:pPr>
              <w:pStyle w:val="af"/>
              <w:rPr>
                <w:rFonts w:ascii="Times New Roman" w:eastAsia="宋体" w:hAnsi="Times New Roman"/>
                <w:color w:val="000000"/>
                <w:kern w:val="2"/>
                <w:sz w:val="21"/>
                <w:szCs w:val="21"/>
              </w:rPr>
            </w:pPr>
            <w:r>
              <w:rPr>
                <w:rFonts w:ascii="Times New Roman" w:eastAsia="宋体" w:hAnsi="Times New Roman"/>
                <w:color w:val="000000"/>
                <w:kern w:val="2"/>
                <w:sz w:val="21"/>
                <w:szCs w:val="21"/>
              </w:rPr>
              <w:t>PDH</w:t>
            </w:r>
          </w:p>
        </w:tc>
        <w:tc>
          <w:tcPr>
            <w:tcW w:w="2136" w:type="pct"/>
            <w:vAlign w:val="center"/>
          </w:tcPr>
          <w:p w:rsidR="008B4DBD" w:rsidRDefault="008B4DBD" w:rsidP="008B4DBD">
            <w:pPr>
              <w:pStyle w:val="ae"/>
              <w:rPr>
                <w:rFonts w:ascii="Arial" w:eastAsia="宋体" w:hAnsi="Arial" w:cs="Arial"/>
                <w:color w:val="auto"/>
                <w:kern w:val="2"/>
                <w:sz w:val="21"/>
                <w:szCs w:val="21"/>
              </w:rPr>
            </w:pPr>
            <w:r>
              <w:rPr>
                <w:rFonts w:ascii="Arial" w:eastAsia="宋体" w:hAnsi="Arial" w:cs="Arial"/>
                <w:noProof/>
                <w:color w:val="auto"/>
                <w:kern w:val="2"/>
                <w:sz w:val="21"/>
                <w:szCs w:val="21"/>
              </w:rPr>
              <w:drawing>
                <wp:inline distT="0" distB="0" distL="0" distR="0">
                  <wp:extent cx="2499995" cy="1419211"/>
                  <wp:effectExtent l="0" t="0" r="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noChangeArrowheads="1"/>
                          </pic:cNvPicPr>
                        </pic:nvPicPr>
                        <pic:blipFill>
                          <a:blip r:embed="rId14">
                            <a:extLst>
                              <a:ext uri="{28A0092B-C50C-407E-A947-70E740481C1C}">
                                <a14:useLocalDpi xmlns:a14="http://schemas.microsoft.com/office/drawing/2010/main" val="0"/>
                              </a:ext>
                            </a:extLst>
                          </a:blip>
                          <a:srcRect r="2893"/>
                          <a:stretch>
                            <a:fillRect/>
                          </a:stretch>
                        </pic:blipFill>
                        <pic:spPr>
                          <a:xfrm>
                            <a:off x="0" y="0"/>
                            <a:ext cx="2501606" cy="1420125"/>
                          </a:xfrm>
                          <a:prstGeom prst="rect">
                            <a:avLst/>
                          </a:prstGeom>
                          <a:noFill/>
                          <a:ln>
                            <a:noFill/>
                          </a:ln>
                        </pic:spPr>
                      </pic:pic>
                    </a:graphicData>
                  </a:graphic>
                </wp:inline>
              </w:drawing>
            </w:r>
          </w:p>
        </w:tc>
        <w:tc>
          <w:tcPr>
            <w:tcW w:w="2057" w:type="pct"/>
            <w:vAlign w:val="center"/>
          </w:tcPr>
          <w:p w:rsidR="008B4DBD" w:rsidRDefault="008B4DBD" w:rsidP="008B4DBD">
            <w:pPr>
              <w:pStyle w:val="af"/>
              <w:ind w:leftChars="-59" w:left="-106"/>
              <w:rPr>
                <w:rFonts w:ascii="Arial" w:eastAsia="宋体" w:hAnsi="Arial" w:cs="Arial"/>
                <w:b w:val="0"/>
                <w:color w:val="000000"/>
                <w:kern w:val="2"/>
                <w:sz w:val="21"/>
                <w:szCs w:val="21"/>
              </w:rPr>
            </w:pPr>
            <w:r>
              <w:rPr>
                <w:rFonts w:ascii="Arial" w:eastAsia="宋体" w:hAnsi="Arial" w:cs="Arial"/>
                <w:b w:val="0"/>
                <w:noProof/>
                <w:color w:val="000000"/>
                <w:kern w:val="2"/>
                <w:sz w:val="21"/>
                <w:szCs w:val="21"/>
              </w:rPr>
              <w:drawing>
                <wp:inline distT="0" distB="0" distL="0" distR="0">
                  <wp:extent cx="2501900" cy="1425501"/>
                  <wp:effectExtent l="0" t="0" r="0" b="3810"/>
                  <wp:docPr id="30" name="图片 3" descr="D:\WeChat Files\d9036147729c9bea4d852b425461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D:\WeChat Files\d9036147729c9bea4d852b42546174c.png"/>
                          <pic:cNvPicPr>
                            <a:picLocks noChangeAspect="1" noChangeArrowheads="1"/>
                          </pic:cNvPicPr>
                        </pic:nvPicPr>
                        <pic:blipFill>
                          <a:blip r:embed="rId15">
                            <a:extLst>
                              <a:ext uri="{28A0092B-C50C-407E-A947-70E740481C1C}">
                                <a14:useLocalDpi xmlns:a14="http://schemas.microsoft.com/office/drawing/2010/main" val="0"/>
                              </a:ext>
                            </a:extLst>
                          </a:blip>
                          <a:srcRect l="5600" t="12173" b="28261"/>
                          <a:stretch>
                            <a:fillRect/>
                          </a:stretch>
                        </pic:blipFill>
                        <pic:spPr>
                          <a:xfrm>
                            <a:off x="0" y="0"/>
                            <a:ext cx="2504855" cy="1427185"/>
                          </a:xfrm>
                          <a:prstGeom prst="rect">
                            <a:avLst/>
                          </a:prstGeom>
                          <a:noFill/>
                          <a:ln>
                            <a:noFill/>
                          </a:ln>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f"/>
              <w:rPr>
                <w:rFonts w:ascii="Arial" w:eastAsia="宋体" w:hAnsi="Arial" w:cs="Arial"/>
                <w:color w:val="000000"/>
                <w:kern w:val="2"/>
                <w:sz w:val="21"/>
                <w:szCs w:val="22"/>
              </w:rPr>
            </w:pPr>
          </w:p>
        </w:tc>
        <w:tc>
          <w:tcPr>
            <w:tcW w:w="2136" w:type="pct"/>
            <w:vAlign w:val="center"/>
          </w:tcPr>
          <w:p w:rsidR="008B4DBD" w:rsidRDefault="008B4DBD" w:rsidP="008B4DBD">
            <w:pPr>
              <w:pStyle w:val="ae"/>
              <w:ind w:leftChars="-60" w:left="-108"/>
              <w:rPr>
                <w:rFonts w:ascii="Arial" w:eastAsia="宋体" w:hAnsi="Arial" w:cs="Arial"/>
                <w:b/>
                <w:color w:val="auto"/>
                <w:kern w:val="2"/>
                <w:sz w:val="21"/>
                <w:szCs w:val="21"/>
              </w:rPr>
            </w:pPr>
            <w:r>
              <w:rPr>
                <w:rFonts w:ascii="Arial" w:eastAsia="宋体" w:hAnsi="Arial" w:cs="Arial" w:hint="eastAsia"/>
                <w:b/>
                <w:color w:val="auto"/>
                <w:kern w:val="2"/>
                <w:sz w:val="21"/>
                <w:szCs w:val="21"/>
              </w:rPr>
              <w:t>耐高温不锈钢</w:t>
            </w:r>
            <w:r>
              <w:rPr>
                <w:rFonts w:ascii="Arial" w:eastAsia="宋体" w:hAnsi="Arial" w:cs="Arial"/>
                <w:b/>
                <w:color w:val="auto"/>
                <w:kern w:val="2"/>
                <w:sz w:val="21"/>
                <w:szCs w:val="21"/>
              </w:rPr>
              <w:t>反应器</w:t>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hint="eastAsia"/>
                <w:color w:val="000000"/>
                <w:kern w:val="2"/>
                <w:sz w:val="21"/>
                <w:szCs w:val="21"/>
              </w:rPr>
              <w:t>耐高温</w:t>
            </w:r>
            <w:r>
              <w:rPr>
                <w:rFonts w:ascii="Arial" w:eastAsia="宋体" w:hAnsi="Arial" w:cs="Arial"/>
                <w:color w:val="000000"/>
                <w:kern w:val="2"/>
                <w:sz w:val="21"/>
                <w:szCs w:val="21"/>
              </w:rPr>
              <w:t>不锈钢热联合换热器</w:t>
            </w:r>
          </w:p>
        </w:tc>
      </w:tr>
      <w:tr w:rsidR="008B4DBD" w:rsidTr="008B4DBD">
        <w:trPr>
          <w:trHeight w:val="2625"/>
          <w:jc w:val="center"/>
        </w:trPr>
        <w:tc>
          <w:tcPr>
            <w:tcW w:w="807" w:type="pct"/>
            <w:vMerge w:val="restart"/>
            <w:vAlign w:val="center"/>
          </w:tcPr>
          <w:p w:rsidR="008B4DBD" w:rsidRDefault="008B4DBD" w:rsidP="008B4DBD">
            <w:pPr>
              <w:pStyle w:val="af"/>
              <w:spacing w:line="300" w:lineRule="auto"/>
              <w:rPr>
                <w:rFonts w:ascii="Arial" w:eastAsia="宋体" w:hAnsi="Arial" w:cs="Arial"/>
                <w:color w:val="000000"/>
                <w:kern w:val="2"/>
                <w:sz w:val="21"/>
                <w:szCs w:val="21"/>
              </w:rPr>
            </w:pPr>
            <w:r>
              <w:rPr>
                <w:rFonts w:ascii="Arial" w:eastAsia="宋体" w:hAnsi="Arial" w:cs="Arial" w:hint="eastAsia"/>
                <w:color w:val="000000"/>
                <w:kern w:val="2"/>
                <w:sz w:val="21"/>
                <w:szCs w:val="21"/>
              </w:rPr>
              <w:t>炼油</w:t>
            </w:r>
          </w:p>
          <w:p w:rsidR="008B4DBD" w:rsidRDefault="008B4DBD" w:rsidP="008B4DBD">
            <w:pPr>
              <w:pStyle w:val="af"/>
              <w:spacing w:line="300" w:lineRule="auto"/>
              <w:rPr>
                <w:rFonts w:ascii="Times New Roman" w:eastAsia="宋体" w:hAnsi="Times New Roman"/>
                <w:color w:val="000000"/>
                <w:kern w:val="2"/>
                <w:sz w:val="21"/>
                <w:szCs w:val="21"/>
              </w:rPr>
            </w:pPr>
            <w:r>
              <w:rPr>
                <w:rFonts w:ascii="Times New Roman" w:eastAsia="宋体" w:hAnsi="Times New Roman"/>
                <w:color w:val="000000"/>
                <w:kern w:val="2"/>
                <w:sz w:val="21"/>
                <w:szCs w:val="21"/>
              </w:rPr>
              <w:t>ABS</w:t>
            </w:r>
          </w:p>
          <w:p w:rsidR="008B4DBD" w:rsidRDefault="008B4DBD" w:rsidP="008B4DBD">
            <w:pPr>
              <w:pStyle w:val="af"/>
              <w:spacing w:line="300" w:lineRule="auto"/>
              <w:rPr>
                <w:rFonts w:ascii="Arial" w:eastAsia="宋体" w:hAnsi="Arial" w:cs="Arial"/>
                <w:color w:val="000000"/>
                <w:kern w:val="2"/>
                <w:sz w:val="21"/>
                <w:szCs w:val="21"/>
              </w:rPr>
            </w:pPr>
            <w:r>
              <w:rPr>
                <w:rFonts w:ascii="Arial" w:eastAsia="宋体" w:hAnsi="Arial" w:cs="Arial"/>
                <w:color w:val="000000"/>
                <w:kern w:val="2"/>
                <w:sz w:val="21"/>
                <w:szCs w:val="21"/>
              </w:rPr>
              <w:t>丙烯酸</w:t>
            </w:r>
          </w:p>
          <w:p w:rsidR="008B4DBD" w:rsidRDefault="008B4DBD" w:rsidP="008B4DBD">
            <w:pPr>
              <w:pStyle w:val="af"/>
              <w:spacing w:line="300" w:lineRule="auto"/>
              <w:rPr>
                <w:rFonts w:ascii="Arial" w:eastAsia="宋体" w:hAnsi="Arial" w:cs="Arial"/>
                <w:color w:val="000000"/>
                <w:kern w:val="2"/>
                <w:sz w:val="21"/>
                <w:szCs w:val="21"/>
              </w:rPr>
            </w:pPr>
            <w:r>
              <w:rPr>
                <w:rFonts w:ascii="Arial" w:eastAsia="宋体" w:hAnsi="Arial" w:cs="Arial"/>
                <w:color w:val="000000"/>
                <w:kern w:val="2"/>
                <w:sz w:val="21"/>
                <w:szCs w:val="21"/>
              </w:rPr>
              <w:t>醋酸</w:t>
            </w:r>
          </w:p>
          <w:p w:rsidR="008B4DBD" w:rsidRDefault="008B4DBD" w:rsidP="008B4DBD">
            <w:pPr>
              <w:pStyle w:val="af"/>
              <w:spacing w:line="300" w:lineRule="auto"/>
              <w:rPr>
                <w:rFonts w:ascii="Times New Roman" w:eastAsia="宋体" w:hAnsi="Times New Roman"/>
                <w:color w:val="000000"/>
                <w:kern w:val="2"/>
                <w:sz w:val="21"/>
                <w:szCs w:val="21"/>
              </w:rPr>
            </w:pPr>
            <w:r>
              <w:rPr>
                <w:rFonts w:ascii="Times New Roman" w:eastAsia="宋体" w:hAnsi="Times New Roman"/>
                <w:color w:val="000000"/>
                <w:kern w:val="2"/>
                <w:sz w:val="21"/>
                <w:szCs w:val="21"/>
              </w:rPr>
              <w:t>VCM</w:t>
            </w:r>
          </w:p>
          <w:p w:rsidR="008B4DBD" w:rsidRDefault="008B4DBD" w:rsidP="008B4DBD">
            <w:pPr>
              <w:pStyle w:val="af"/>
              <w:spacing w:line="300" w:lineRule="auto"/>
              <w:rPr>
                <w:rFonts w:ascii="Arial" w:eastAsia="宋体" w:hAnsi="Arial" w:cs="Arial"/>
                <w:color w:val="000000"/>
                <w:kern w:val="2"/>
                <w:sz w:val="21"/>
                <w:szCs w:val="21"/>
              </w:rPr>
            </w:pPr>
            <w:r>
              <w:rPr>
                <w:rFonts w:ascii="Arial" w:eastAsia="宋体" w:hAnsi="Arial" w:cs="Arial"/>
                <w:color w:val="000000"/>
                <w:kern w:val="2"/>
                <w:sz w:val="21"/>
                <w:szCs w:val="21"/>
              </w:rPr>
              <w:t>聚碳酸酯</w:t>
            </w:r>
          </w:p>
          <w:p w:rsidR="008B4DBD" w:rsidRDefault="008B4DBD" w:rsidP="008B4DBD">
            <w:pPr>
              <w:pStyle w:val="af"/>
              <w:spacing w:line="300" w:lineRule="auto"/>
              <w:rPr>
                <w:rFonts w:ascii="Arial" w:eastAsia="宋体" w:hAnsi="Arial" w:cs="Arial"/>
                <w:color w:val="000000"/>
                <w:kern w:val="2"/>
                <w:sz w:val="21"/>
                <w:szCs w:val="21"/>
              </w:rPr>
            </w:pPr>
            <w:r>
              <w:rPr>
                <w:rFonts w:ascii="Arial" w:eastAsia="宋体" w:hAnsi="Arial" w:cs="Arial" w:hint="eastAsia"/>
                <w:color w:val="000000"/>
                <w:kern w:val="2"/>
                <w:sz w:val="21"/>
                <w:szCs w:val="21"/>
              </w:rPr>
              <w:t>造纸等其他</w:t>
            </w:r>
          </w:p>
          <w:p w:rsidR="008B4DBD" w:rsidRDefault="008B4DBD" w:rsidP="008B4DBD">
            <w:pPr>
              <w:pStyle w:val="af"/>
              <w:spacing w:line="300" w:lineRule="auto"/>
              <w:rPr>
                <w:rFonts w:ascii="Arial" w:eastAsia="宋体" w:hAnsi="Arial" w:cs="Arial"/>
                <w:color w:val="000000"/>
                <w:kern w:val="2"/>
                <w:sz w:val="21"/>
                <w:szCs w:val="22"/>
              </w:rPr>
            </w:pPr>
            <w:r>
              <w:rPr>
                <w:rFonts w:ascii="Arial" w:eastAsia="宋体" w:hAnsi="Arial" w:cs="Arial" w:hint="eastAsia"/>
                <w:color w:val="000000"/>
                <w:kern w:val="2"/>
                <w:sz w:val="21"/>
                <w:szCs w:val="21"/>
              </w:rPr>
              <w:t>化工领域</w:t>
            </w:r>
          </w:p>
        </w:tc>
        <w:tc>
          <w:tcPr>
            <w:tcW w:w="2136" w:type="pct"/>
            <w:vAlign w:val="center"/>
          </w:tcPr>
          <w:p w:rsidR="008B4DBD" w:rsidRDefault="008B4DBD" w:rsidP="008B4DBD">
            <w:pPr>
              <w:pStyle w:val="ae"/>
              <w:ind w:leftChars="-52" w:left="-94"/>
              <w:rPr>
                <w:rFonts w:ascii="Arial" w:eastAsia="宋体" w:hAnsi="Arial" w:cs="Arial"/>
                <w:color w:val="auto"/>
                <w:kern w:val="2"/>
                <w:sz w:val="21"/>
                <w:szCs w:val="21"/>
              </w:rPr>
            </w:pPr>
            <w:r>
              <w:rPr>
                <w:rFonts w:ascii="Arial" w:eastAsia="宋体" w:hAnsi="Arial" w:cs="Arial"/>
                <w:noProof/>
                <w:color w:val="auto"/>
                <w:kern w:val="2"/>
                <w:sz w:val="21"/>
                <w:szCs w:val="21"/>
              </w:rPr>
              <w:drawing>
                <wp:inline distT="0" distB="0" distL="0" distR="0">
                  <wp:extent cx="2581275" cy="1499235"/>
                  <wp:effectExtent l="0" t="0" r="0" b="0"/>
                  <wp:docPr id="31" name="图片 1" descr="D:\WeChat Files\e34b26df8a625365705c57374284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D:\WeChat Files\e34b26df8a625365705c57374284851.jpg"/>
                          <pic:cNvPicPr>
                            <a:picLocks noChangeAspect="1" noChangeArrowheads="1"/>
                          </pic:cNvPicPr>
                        </pic:nvPicPr>
                        <pic:blipFill>
                          <a:blip r:embed="rId16">
                            <a:extLst>
                              <a:ext uri="{28A0092B-C50C-407E-A947-70E740481C1C}">
                                <a14:useLocalDpi xmlns:a14="http://schemas.microsoft.com/office/drawing/2010/main" val="0"/>
                              </a:ext>
                            </a:extLst>
                          </a:blip>
                          <a:srcRect l="5930"/>
                          <a:stretch>
                            <a:fillRect/>
                          </a:stretch>
                        </pic:blipFill>
                        <pic:spPr>
                          <a:xfrm>
                            <a:off x="0" y="0"/>
                            <a:ext cx="2581275" cy="1499235"/>
                          </a:xfrm>
                          <a:prstGeom prst="rect">
                            <a:avLst/>
                          </a:prstGeom>
                          <a:noFill/>
                          <a:ln>
                            <a:noFill/>
                          </a:ln>
                        </pic:spPr>
                      </pic:pic>
                    </a:graphicData>
                  </a:graphic>
                </wp:inline>
              </w:drawing>
            </w:r>
          </w:p>
        </w:tc>
        <w:tc>
          <w:tcPr>
            <w:tcW w:w="2057" w:type="pct"/>
            <w:vAlign w:val="center"/>
          </w:tcPr>
          <w:p w:rsidR="008B4DBD" w:rsidRDefault="008B4DBD" w:rsidP="008B4DBD">
            <w:pPr>
              <w:pStyle w:val="af"/>
              <w:ind w:leftChars="-52" w:left="-94"/>
              <w:jc w:val="left"/>
              <w:rPr>
                <w:rFonts w:ascii="Arial" w:eastAsia="宋体" w:hAnsi="Arial" w:cs="Arial"/>
                <w:b w:val="0"/>
                <w:color w:val="000000"/>
                <w:kern w:val="2"/>
                <w:sz w:val="21"/>
                <w:szCs w:val="21"/>
              </w:rPr>
            </w:pPr>
            <w:r>
              <w:rPr>
                <w:rFonts w:ascii="Arial" w:eastAsia="宋体" w:hAnsi="Arial" w:cs="Arial"/>
                <w:b w:val="0"/>
                <w:noProof/>
                <w:color w:val="000000"/>
                <w:kern w:val="2"/>
                <w:sz w:val="21"/>
                <w:szCs w:val="21"/>
              </w:rPr>
              <w:drawing>
                <wp:inline distT="0" distB="0" distL="0" distR="0">
                  <wp:extent cx="2461895" cy="1553210"/>
                  <wp:effectExtent l="0" t="0" r="0" b="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cstate="print">
                            <a:extLst>
                              <a:ext uri="{28A0092B-C50C-407E-A947-70E740481C1C}">
                                <a14:useLocalDpi xmlns:a14="http://schemas.microsoft.com/office/drawing/2010/main" val="0"/>
                              </a:ext>
                            </a:extLst>
                          </a:blip>
                          <a:srcRect t="10436"/>
                          <a:stretch>
                            <a:fillRect/>
                          </a:stretch>
                        </pic:blipFill>
                        <pic:spPr>
                          <a:xfrm>
                            <a:off x="0" y="0"/>
                            <a:ext cx="2461895" cy="1553210"/>
                          </a:xfrm>
                          <a:prstGeom prst="rect">
                            <a:avLst/>
                          </a:prstGeom>
                          <a:ln>
                            <a:noFill/>
                          </a:ln>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f"/>
              <w:rPr>
                <w:rFonts w:ascii="Arial" w:eastAsia="宋体" w:hAnsi="Arial" w:cs="Arial"/>
                <w:color w:val="000000"/>
                <w:kern w:val="2"/>
                <w:sz w:val="21"/>
                <w:szCs w:val="22"/>
              </w:rPr>
            </w:pPr>
          </w:p>
        </w:tc>
        <w:tc>
          <w:tcPr>
            <w:tcW w:w="2136" w:type="pct"/>
            <w:vAlign w:val="center"/>
          </w:tcPr>
          <w:p w:rsidR="008B4DBD" w:rsidRDefault="008B4DBD" w:rsidP="008B4DBD">
            <w:pPr>
              <w:pStyle w:val="af"/>
              <w:rPr>
                <w:rFonts w:ascii="Arial" w:eastAsia="宋体" w:hAnsi="Arial" w:cs="Arial"/>
                <w:color w:val="auto"/>
                <w:kern w:val="2"/>
                <w:sz w:val="21"/>
                <w:szCs w:val="22"/>
              </w:rPr>
            </w:pPr>
            <w:r>
              <w:rPr>
                <w:rFonts w:ascii="Arial" w:eastAsia="宋体" w:hAnsi="Arial" w:cs="Arial" w:hint="eastAsia"/>
                <w:color w:val="auto"/>
                <w:kern w:val="2"/>
                <w:sz w:val="21"/>
                <w:szCs w:val="21"/>
              </w:rPr>
              <w:t>乙烷塔</w:t>
            </w:r>
          </w:p>
        </w:tc>
        <w:tc>
          <w:tcPr>
            <w:tcW w:w="2057" w:type="pct"/>
            <w:vAlign w:val="center"/>
          </w:tcPr>
          <w:p w:rsidR="008B4DBD" w:rsidRDefault="008B4DBD" w:rsidP="008B4DBD">
            <w:pPr>
              <w:pStyle w:val="af"/>
              <w:rPr>
                <w:rFonts w:ascii="Arial" w:eastAsia="宋体" w:hAnsi="Arial" w:cs="Arial"/>
                <w:color w:val="auto"/>
                <w:kern w:val="2"/>
                <w:sz w:val="21"/>
                <w:szCs w:val="22"/>
              </w:rPr>
            </w:pPr>
            <w:r>
              <w:rPr>
                <w:rFonts w:ascii="Arial" w:eastAsia="宋体" w:hAnsi="Arial" w:cs="Arial"/>
                <w:color w:val="000000"/>
                <w:kern w:val="2"/>
                <w:sz w:val="21"/>
                <w:szCs w:val="22"/>
              </w:rPr>
              <w:t>钢钢复合板</w:t>
            </w:r>
            <w:r>
              <w:rPr>
                <w:rFonts w:ascii="Arial" w:eastAsia="宋体" w:hAnsi="Arial" w:cs="Arial" w:hint="eastAsia"/>
                <w:color w:val="000000"/>
                <w:kern w:val="2"/>
                <w:sz w:val="21"/>
                <w:szCs w:val="22"/>
              </w:rPr>
              <w:t>脱挥</w:t>
            </w:r>
            <w:r>
              <w:rPr>
                <w:rFonts w:ascii="Arial" w:eastAsia="宋体" w:hAnsi="Arial" w:cs="Arial"/>
                <w:color w:val="000000"/>
                <w:kern w:val="2"/>
                <w:sz w:val="21"/>
                <w:szCs w:val="22"/>
              </w:rPr>
              <w:t>器</w:t>
            </w:r>
          </w:p>
        </w:tc>
      </w:tr>
      <w:tr w:rsidR="008B4DBD" w:rsidTr="008B4DBD">
        <w:trPr>
          <w:trHeight w:val="2611"/>
          <w:jc w:val="center"/>
        </w:trPr>
        <w:tc>
          <w:tcPr>
            <w:tcW w:w="807" w:type="pct"/>
            <w:vMerge/>
            <w:vAlign w:val="center"/>
          </w:tcPr>
          <w:p w:rsidR="008B4DBD" w:rsidRDefault="008B4DBD" w:rsidP="008B4DBD">
            <w:pPr>
              <w:pStyle w:val="af"/>
              <w:rPr>
                <w:rFonts w:ascii="Arial" w:eastAsia="宋体" w:hAnsi="Arial" w:cs="Arial"/>
                <w:color w:val="000000"/>
                <w:kern w:val="2"/>
                <w:sz w:val="21"/>
                <w:szCs w:val="22"/>
              </w:rPr>
            </w:pPr>
          </w:p>
        </w:tc>
        <w:tc>
          <w:tcPr>
            <w:tcW w:w="2136" w:type="pct"/>
            <w:vAlign w:val="center"/>
          </w:tcPr>
          <w:p w:rsidR="008B4DBD" w:rsidRDefault="008B4DBD" w:rsidP="008B4DBD">
            <w:pPr>
              <w:pStyle w:val="ae"/>
              <w:rPr>
                <w:rFonts w:ascii="Arial" w:eastAsia="宋体" w:hAnsi="Arial" w:cs="Arial"/>
                <w:color w:val="auto"/>
                <w:kern w:val="2"/>
                <w:sz w:val="21"/>
                <w:szCs w:val="21"/>
              </w:rPr>
            </w:pPr>
            <w:r>
              <w:rPr>
                <w:rFonts w:ascii="Arial" w:eastAsia="宋体" w:hAnsi="Arial" w:cs="Arial"/>
                <w:noProof/>
                <w:color w:val="auto"/>
                <w:kern w:val="2"/>
                <w:sz w:val="21"/>
                <w:szCs w:val="21"/>
              </w:rPr>
              <w:drawing>
                <wp:inline distT="0" distB="0" distL="0" distR="0">
                  <wp:extent cx="2428875" cy="1628775"/>
                  <wp:effectExtent l="0" t="0" r="0" b="0"/>
                  <wp:docPr id="33" name="图片 68" descr="醋酸纯锆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8" descr="醋酸纯锆塔.jpg"/>
                          <pic:cNvPicPr>
                            <a:picLocks noChangeAspect="1" noChangeArrowheads="1"/>
                          </pic:cNvPicPr>
                        </pic:nvPicPr>
                        <pic:blipFill>
                          <a:blip r:embed="rId18">
                            <a:extLst>
                              <a:ext uri="{28A0092B-C50C-407E-A947-70E740481C1C}">
                                <a14:useLocalDpi xmlns:a14="http://schemas.microsoft.com/office/drawing/2010/main" val="0"/>
                              </a:ext>
                            </a:extLst>
                          </a:blip>
                          <a:srcRect t="1517" b="13576"/>
                          <a:stretch>
                            <a:fillRect/>
                          </a:stretch>
                        </pic:blipFill>
                        <pic:spPr>
                          <a:xfrm>
                            <a:off x="0" y="0"/>
                            <a:ext cx="2428875" cy="1628775"/>
                          </a:xfrm>
                          <a:prstGeom prst="rect">
                            <a:avLst/>
                          </a:prstGeom>
                          <a:noFill/>
                          <a:ln>
                            <a:noFill/>
                          </a:ln>
                        </pic:spPr>
                      </pic:pic>
                    </a:graphicData>
                  </a:graphic>
                </wp:inline>
              </w:drawing>
            </w:r>
          </w:p>
        </w:tc>
        <w:tc>
          <w:tcPr>
            <w:tcW w:w="2057" w:type="pct"/>
            <w:vAlign w:val="center"/>
          </w:tcPr>
          <w:p w:rsidR="008B4DBD" w:rsidRDefault="008B4DBD" w:rsidP="008B4DBD">
            <w:pPr>
              <w:pStyle w:val="af"/>
              <w:rPr>
                <w:rFonts w:ascii="Arial" w:eastAsia="宋体" w:hAnsi="Arial" w:cs="Arial"/>
                <w:b w:val="0"/>
                <w:color w:val="000000"/>
                <w:kern w:val="2"/>
                <w:sz w:val="21"/>
                <w:szCs w:val="21"/>
              </w:rPr>
            </w:pPr>
            <w:r>
              <w:rPr>
                <w:noProof/>
              </w:rPr>
              <w:drawing>
                <wp:inline distT="0" distB="0" distL="0" distR="0">
                  <wp:extent cx="2461895" cy="1550670"/>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1895" cy="1550670"/>
                          </a:xfrm>
                          <a:prstGeom prst="rect">
                            <a:avLst/>
                          </a:prstGeom>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f"/>
              <w:rPr>
                <w:rFonts w:ascii="Arial" w:eastAsia="宋体" w:hAnsi="Arial" w:cs="Arial"/>
                <w:color w:val="000000"/>
                <w:kern w:val="2"/>
                <w:sz w:val="21"/>
                <w:szCs w:val="22"/>
              </w:rPr>
            </w:pPr>
          </w:p>
        </w:tc>
        <w:tc>
          <w:tcPr>
            <w:tcW w:w="2136" w:type="pct"/>
            <w:vAlign w:val="center"/>
          </w:tcPr>
          <w:p w:rsidR="008B4DBD" w:rsidRDefault="008B4DBD" w:rsidP="008B4DBD">
            <w:pPr>
              <w:pStyle w:val="af"/>
              <w:rPr>
                <w:rFonts w:ascii="Arial" w:eastAsia="宋体" w:hAnsi="Arial" w:cs="Arial"/>
                <w:color w:val="000000"/>
                <w:kern w:val="2"/>
                <w:sz w:val="21"/>
                <w:szCs w:val="22"/>
              </w:rPr>
            </w:pPr>
            <w:r>
              <w:rPr>
                <w:rFonts w:ascii="Arial" w:eastAsia="宋体" w:hAnsi="Arial" w:cs="Arial" w:hint="eastAsia"/>
                <w:color w:val="000000"/>
                <w:kern w:val="2"/>
                <w:sz w:val="21"/>
                <w:szCs w:val="21"/>
              </w:rPr>
              <w:t>锆材醋酸水</w:t>
            </w:r>
            <w:r>
              <w:rPr>
                <w:rFonts w:ascii="Arial" w:eastAsia="宋体" w:hAnsi="Arial" w:cs="Arial"/>
                <w:color w:val="000000"/>
                <w:kern w:val="2"/>
                <w:sz w:val="21"/>
                <w:szCs w:val="21"/>
              </w:rPr>
              <w:t>分离塔</w:t>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hint="eastAsia"/>
                <w:color w:val="000000"/>
                <w:kern w:val="2"/>
                <w:sz w:val="21"/>
                <w:szCs w:val="21"/>
              </w:rPr>
              <w:t>钛钢复合板醋酸</w:t>
            </w:r>
            <w:r>
              <w:rPr>
                <w:rFonts w:ascii="Arial" w:eastAsia="宋体" w:hAnsi="Arial" w:cs="Arial"/>
                <w:color w:val="000000"/>
                <w:kern w:val="2"/>
                <w:sz w:val="21"/>
                <w:szCs w:val="21"/>
              </w:rPr>
              <w:t>回收塔</w:t>
            </w:r>
          </w:p>
        </w:tc>
      </w:tr>
      <w:tr w:rsidR="008B4DBD" w:rsidTr="008B4DBD">
        <w:trPr>
          <w:trHeight w:val="2770"/>
          <w:jc w:val="center"/>
        </w:trPr>
        <w:tc>
          <w:tcPr>
            <w:tcW w:w="807" w:type="pct"/>
            <w:vMerge/>
            <w:vAlign w:val="center"/>
          </w:tcPr>
          <w:p w:rsidR="008B4DBD" w:rsidRDefault="008B4DBD" w:rsidP="008B4DBD">
            <w:pPr>
              <w:pStyle w:val="af"/>
              <w:rPr>
                <w:rFonts w:ascii="Arial" w:eastAsia="宋体" w:hAnsi="Arial" w:cs="Arial"/>
                <w:color w:val="000000"/>
                <w:kern w:val="2"/>
                <w:sz w:val="21"/>
                <w:szCs w:val="22"/>
              </w:rPr>
            </w:pPr>
          </w:p>
        </w:tc>
        <w:tc>
          <w:tcPr>
            <w:tcW w:w="2136" w:type="pct"/>
            <w:vAlign w:val="center"/>
          </w:tcPr>
          <w:p w:rsidR="008B4DBD" w:rsidRDefault="008B4DBD" w:rsidP="008B4DBD">
            <w:pPr>
              <w:pStyle w:val="af"/>
              <w:rPr>
                <w:rFonts w:ascii="Arial" w:eastAsia="宋体" w:hAnsi="Arial" w:cs="Arial"/>
                <w:color w:val="000000"/>
                <w:kern w:val="2"/>
                <w:sz w:val="21"/>
                <w:szCs w:val="21"/>
              </w:rPr>
            </w:pPr>
            <w:r>
              <w:rPr>
                <w:rFonts w:ascii="Arial" w:eastAsia="宋体" w:hAnsi="Arial" w:cs="Arial" w:hint="eastAsia"/>
                <w:noProof/>
                <w:color w:val="000000"/>
                <w:kern w:val="2"/>
                <w:sz w:val="21"/>
                <w:szCs w:val="21"/>
              </w:rPr>
              <w:drawing>
                <wp:inline distT="0" distB="0" distL="0" distR="0">
                  <wp:extent cx="2562225" cy="1708150"/>
                  <wp:effectExtent l="0" t="0" r="0" b="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2225" cy="1708150"/>
                          </a:xfrm>
                          <a:prstGeom prst="rect">
                            <a:avLst/>
                          </a:prstGeom>
                        </pic:spPr>
                      </pic:pic>
                    </a:graphicData>
                  </a:graphic>
                </wp:inline>
              </w:drawing>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hint="eastAsia"/>
                <w:noProof/>
                <w:color w:val="000000"/>
                <w:kern w:val="2"/>
                <w:sz w:val="21"/>
                <w:szCs w:val="21"/>
              </w:rPr>
              <w:drawing>
                <wp:inline distT="0" distB="0" distL="0" distR="0">
                  <wp:extent cx="2461895" cy="1720850"/>
                  <wp:effectExtent l="0" t="0" r="0" b="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21" cstate="print">
                            <a:extLst>
                              <a:ext uri="{28A0092B-C50C-407E-A947-70E740481C1C}">
                                <a14:useLocalDpi xmlns:a14="http://schemas.microsoft.com/office/drawing/2010/main" val="0"/>
                              </a:ext>
                            </a:extLst>
                          </a:blip>
                          <a:srcRect t="1375" b="5433"/>
                          <a:stretch/>
                        </pic:blipFill>
                        <pic:spPr bwMode="auto">
                          <a:xfrm>
                            <a:off x="0" y="0"/>
                            <a:ext cx="2461895" cy="1720850"/>
                          </a:xfrm>
                          <a:prstGeom prst="rect">
                            <a:avLst/>
                          </a:prstGeom>
                          <a:ln>
                            <a:noFill/>
                          </a:ln>
                          <a:extLst>
                            <a:ext uri="{53640926-AAD7-44D8-BBD7-CCE9431645EC}">
                              <a14:shadowObscured xmlns:a14="http://schemas.microsoft.com/office/drawing/2010/main"/>
                            </a:ext>
                          </a:extLst>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f"/>
              <w:rPr>
                <w:rFonts w:ascii="Arial" w:eastAsia="宋体" w:hAnsi="Arial" w:cs="Arial"/>
                <w:color w:val="000000"/>
                <w:kern w:val="2"/>
                <w:sz w:val="21"/>
                <w:szCs w:val="22"/>
              </w:rPr>
            </w:pPr>
          </w:p>
        </w:tc>
        <w:tc>
          <w:tcPr>
            <w:tcW w:w="2136" w:type="pct"/>
            <w:vAlign w:val="center"/>
          </w:tcPr>
          <w:p w:rsidR="008B4DBD" w:rsidRDefault="008B4DBD" w:rsidP="008B4DBD">
            <w:pPr>
              <w:pStyle w:val="af"/>
              <w:rPr>
                <w:rFonts w:ascii="Arial" w:eastAsia="宋体" w:hAnsi="Arial" w:cs="Arial"/>
                <w:color w:val="000000"/>
                <w:kern w:val="2"/>
                <w:sz w:val="21"/>
                <w:szCs w:val="21"/>
              </w:rPr>
            </w:pPr>
            <w:r>
              <w:rPr>
                <w:rFonts w:ascii="Arial" w:eastAsia="宋体" w:hAnsi="Arial" w:cs="Arial" w:hint="eastAsia"/>
                <w:color w:val="000000"/>
                <w:kern w:val="2"/>
                <w:sz w:val="21"/>
                <w:szCs w:val="21"/>
              </w:rPr>
              <w:t>钢钢</w:t>
            </w:r>
            <w:r>
              <w:rPr>
                <w:rFonts w:ascii="Arial" w:eastAsia="宋体" w:hAnsi="Arial" w:cs="Arial"/>
                <w:color w:val="000000"/>
                <w:kern w:val="2"/>
                <w:sz w:val="21"/>
                <w:szCs w:val="21"/>
              </w:rPr>
              <w:t>复合板一体式高温</w:t>
            </w:r>
            <w:r>
              <w:rPr>
                <w:rFonts w:ascii="Arial" w:eastAsia="宋体" w:hAnsi="Arial" w:cs="Arial" w:hint="eastAsia"/>
                <w:color w:val="000000"/>
                <w:kern w:val="2"/>
                <w:sz w:val="21"/>
                <w:szCs w:val="21"/>
              </w:rPr>
              <w:t>氯化</w:t>
            </w:r>
            <w:r>
              <w:rPr>
                <w:rFonts w:ascii="Arial" w:eastAsia="宋体" w:hAnsi="Arial" w:cs="Arial"/>
                <w:color w:val="000000"/>
                <w:kern w:val="2"/>
                <w:sz w:val="21"/>
                <w:szCs w:val="21"/>
              </w:rPr>
              <w:t>反应器</w:t>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color w:val="000000"/>
                <w:kern w:val="2"/>
                <w:sz w:val="21"/>
                <w:szCs w:val="21"/>
              </w:rPr>
              <w:t>VCM</w:t>
            </w:r>
            <w:r>
              <w:rPr>
                <w:rFonts w:ascii="Arial" w:eastAsia="宋体" w:hAnsi="Arial" w:cs="Arial" w:hint="eastAsia"/>
                <w:color w:val="000000"/>
                <w:kern w:val="2"/>
                <w:sz w:val="21"/>
                <w:szCs w:val="21"/>
              </w:rPr>
              <w:t>换热器</w:t>
            </w:r>
          </w:p>
        </w:tc>
      </w:tr>
      <w:tr w:rsidR="008B4DBD" w:rsidTr="008B4DBD">
        <w:trPr>
          <w:trHeight w:val="3199"/>
          <w:jc w:val="center"/>
        </w:trPr>
        <w:tc>
          <w:tcPr>
            <w:tcW w:w="807" w:type="pct"/>
            <w:vMerge/>
            <w:vAlign w:val="center"/>
          </w:tcPr>
          <w:p w:rsidR="008B4DBD" w:rsidRDefault="008B4DBD" w:rsidP="008B4DBD">
            <w:pPr>
              <w:pStyle w:val="af"/>
              <w:rPr>
                <w:rFonts w:ascii="Arial" w:eastAsia="宋体" w:hAnsi="Arial" w:cs="Arial"/>
                <w:color w:val="000000"/>
                <w:kern w:val="2"/>
                <w:sz w:val="21"/>
                <w:szCs w:val="22"/>
              </w:rPr>
            </w:pPr>
          </w:p>
        </w:tc>
        <w:tc>
          <w:tcPr>
            <w:tcW w:w="2136" w:type="pct"/>
            <w:vAlign w:val="center"/>
          </w:tcPr>
          <w:p w:rsidR="008B4DBD" w:rsidRDefault="008B4DBD" w:rsidP="008B4DBD">
            <w:pPr>
              <w:pStyle w:val="af"/>
              <w:rPr>
                <w:rFonts w:ascii="Arial" w:eastAsia="宋体" w:hAnsi="Arial" w:cs="Arial"/>
                <w:color w:val="000000"/>
                <w:kern w:val="2"/>
                <w:sz w:val="21"/>
                <w:szCs w:val="21"/>
              </w:rPr>
            </w:pPr>
            <w:r>
              <w:rPr>
                <w:noProof/>
              </w:rPr>
              <w:drawing>
                <wp:inline distT="0" distB="0" distL="0" distR="0">
                  <wp:extent cx="2566959" cy="1784350"/>
                  <wp:effectExtent l="0" t="0" r="5080" b="6350"/>
                  <wp:docPr id="37" name="图片 31" descr="C:\Users\刘冰姿\Documents\WeChat Files\wxid_ovgj4qn274ft22\FileStorage\Temp\76678c6f1b43de493b60501a5364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C:\Users\刘冰姿\Documents\WeChat Files\wxid_ovgj4qn274ft22\FileStorage\Temp\76678c6f1b43de493b60501a536486d.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757" r="4762"/>
                          <a:stretch/>
                        </pic:blipFill>
                        <pic:spPr bwMode="auto">
                          <a:xfrm>
                            <a:off x="0" y="0"/>
                            <a:ext cx="2569077" cy="1785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b w:val="0"/>
                <w:noProof/>
                <w:color w:val="000000"/>
                <w:kern w:val="2"/>
                <w:sz w:val="21"/>
                <w:szCs w:val="21"/>
              </w:rPr>
              <w:drawing>
                <wp:inline distT="0" distB="0" distL="0" distR="0">
                  <wp:extent cx="1873250" cy="2006589"/>
                  <wp:effectExtent l="0" t="0" r="0" b="0"/>
                  <wp:docPr id="38" name="图片 6" descr="造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造纸"/>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175"/>
                          <a:stretch/>
                        </pic:blipFill>
                        <pic:spPr bwMode="auto">
                          <a:xfrm>
                            <a:off x="0" y="0"/>
                            <a:ext cx="1873833" cy="2007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f"/>
              <w:rPr>
                <w:rFonts w:ascii="Arial" w:eastAsia="宋体" w:hAnsi="Arial" w:cs="Arial"/>
                <w:color w:val="000000"/>
                <w:kern w:val="2"/>
                <w:sz w:val="21"/>
                <w:szCs w:val="22"/>
              </w:rPr>
            </w:pPr>
          </w:p>
        </w:tc>
        <w:tc>
          <w:tcPr>
            <w:tcW w:w="2136" w:type="pct"/>
            <w:vAlign w:val="center"/>
          </w:tcPr>
          <w:p w:rsidR="008B4DBD" w:rsidRDefault="008B4DBD" w:rsidP="008B4DBD">
            <w:pPr>
              <w:pStyle w:val="af"/>
              <w:rPr>
                <w:rFonts w:ascii="Arial" w:eastAsia="宋体" w:hAnsi="Arial" w:cs="Arial"/>
                <w:color w:val="000000"/>
                <w:kern w:val="2"/>
                <w:sz w:val="21"/>
                <w:szCs w:val="21"/>
              </w:rPr>
            </w:pPr>
            <w:r>
              <w:rPr>
                <w:rFonts w:ascii="Times New Roman" w:eastAsia="宋体" w:hAnsi="Times New Roman"/>
                <w:color w:val="auto"/>
                <w:kern w:val="2"/>
                <w:sz w:val="21"/>
                <w:szCs w:val="21"/>
              </w:rPr>
              <w:t>MVR</w:t>
            </w:r>
            <w:r>
              <w:rPr>
                <w:rFonts w:ascii="Arial" w:eastAsia="宋体" w:hAnsi="Arial" w:cs="Arial"/>
                <w:color w:val="auto"/>
                <w:kern w:val="2"/>
                <w:sz w:val="21"/>
                <w:szCs w:val="21"/>
              </w:rPr>
              <w:t>结晶器</w:t>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color w:val="000000"/>
                <w:kern w:val="2"/>
                <w:sz w:val="21"/>
                <w:szCs w:val="21"/>
              </w:rPr>
              <w:t>双相不锈钢蒸煮器</w:t>
            </w:r>
          </w:p>
        </w:tc>
      </w:tr>
      <w:tr w:rsidR="008B4DBD" w:rsidTr="008B4DBD">
        <w:trPr>
          <w:trHeight w:val="2753"/>
          <w:jc w:val="center"/>
        </w:trPr>
        <w:tc>
          <w:tcPr>
            <w:tcW w:w="807" w:type="pct"/>
            <w:vMerge w:val="restart"/>
            <w:vAlign w:val="center"/>
          </w:tcPr>
          <w:p w:rsidR="008B4DBD" w:rsidRDefault="008B4DBD" w:rsidP="008B4DBD">
            <w:pPr>
              <w:pStyle w:val="af"/>
              <w:rPr>
                <w:rFonts w:ascii="Arial" w:eastAsia="宋体" w:hAnsi="Arial" w:cs="Arial"/>
                <w:color w:val="000000"/>
                <w:kern w:val="2"/>
                <w:sz w:val="21"/>
                <w:szCs w:val="21"/>
              </w:rPr>
            </w:pPr>
            <w:r>
              <w:rPr>
                <w:rFonts w:ascii="Arial" w:eastAsia="宋体" w:hAnsi="Arial" w:cs="Arial" w:hint="eastAsia"/>
                <w:color w:val="000000"/>
                <w:kern w:val="2"/>
                <w:sz w:val="21"/>
                <w:szCs w:val="21"/>
              </w:rPr>
              <w:t>煤化工</w:t>
            </w:r>
          </w:p>
        </w:tc>
        <w:tc>
          <w:tcPr>
            <w:tcW w:w="2136" w:type="pct"/>
            <w:vAlign w:val="center"/>
          </w:tcPr>
          <w:p w:rsidR="008B4DBD" w:rsidRDefault="008B4DBD" w:rsidP="008B4DBD">
            <w:pPr>
              <w:pStyle w:val="ae"/>
              <w:ind w:leftChars="-60" w:left="-108"/>
              <w:rPr>
                <w:rFonts w:ascii="Arial" w:eastAsia="宋体" w:hAnsi="Arial" w:cs="Arial"/>
                <w:color w:val="auto"/>
                <w:kern w:val="2"/>
                <w:sz w:val="21"/>
                <w:szCs w:val="21"/>
              </w:rPr>
            </w:pPr>
            <w:r>
              <w:rPr>
                <w:rFonts w:ascii="Arial" w:eastAsia="宋体" w:hAnsi="Arial" w:cs="Arial"/>
                <w:noProof/>
                <w:color w:val="auto"/>
                <w:kern w:val="2"/>
                <w:sz w:val="21"/>
                <w:szCs w:val="21"/>
              </w:rPr>
              <w:drawing>
                <wp:inline distT="0" distB="0" distL="0" distR="0">
                  <wp:extent cx="2562225" cy="1715770"/>
                  <wp:effectExtent l="0" t="0" r="0" b="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2225" cy="1715770"/>
                          </a:xfrm>
                          <a:prstGeom prst="rect">
                            <a:avLst/>
                          </a:prstGeom>
                        </pic:spPr>
                      </pic:pic>
                    </a:graphicData>
                  </a:graphic>
                </wp:inline>
              </w:drawing>
            </w:r>
          </w:p>
        </w:tc>
        <w:tc>
          <w:tcPr>
            <w:tcW w:w="2057" w:type="pct"/>
            <w:vAlign w:val="center"/>
          </w:tcPr>
          <w:p w:rsidR="008B4DBD" w:rsidRDefault="008B4DBD" w:rsidP="008B4DBD">
            <w:pPr>
              <w:pStyle w:val="af"/>
              <w:ind w:leftChars="-60" w:left="-108"/>
              <w:jc w:val="left"/>
              <w:rPr>
                <w:rFonts w:ascii="Arial" w:eastAsia="宋体" w:hAnsi="Arial" w:cs="Arial"/>
                <w:b w:val="0"/>
                <w:color w:val="000000"/>
                <w:kern w:val="2"/>
                <w:sz w:val="21"/>
                <w:szCs w:val="21"/>
              </w:rPr>
            </w:pPr>
            <w:r>
              <w:rPr>
                <w:rFonts w:ascii="Arial" w:eastAsia="宋体" w:hAnsi="Arial" w:cs="Arial"/>
                <w:b w:val="0"/>
                <w:noProof/>
                <w:color w:val="000000"/>
                <w:kern w:val="2"/>
                <w:sz w:val="21"/>
                <w:szCs w:val="21"/>
              </w:rPr>
              <w:drawing>
                <wp:inline distT="0" distB="0" distL="0" distR="0">
                  <wp:extent cx="2461895" cy="1655445"/>
                  <wp:effectExtent l="0" t="0" r="0" b="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1895" cy="1655445"/>
                          </a:xfrm>
                          <a:prstGeom prst="rect">
                            <a:avLst/>
                          </a:prstGeom>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f"/>
              <w:rPr>
                <w:rFonts w:ascii="Arial" w:eastAsia="宋体" w:hAnsi="Arial" w:cs="Arial"/>
                <w:color w:val="000000"/>
                <w:kern w:val="2"/>
                <w:sz w:val="21"/>
                <w:szCs w:val="21"/>
              </w:rPr>
            </w:pPr>
          </w:p>
        </w:tc>
        <w:tc>
          <w:tcPr>
            <w:tcW w:w="2136" w:type="pct"/>
            <w:vAlign w:val="center"/>
          </w:tcPr>
          <w:p w:rsidR="008B4DBD" w:rsidRDefault="008B4DBD" w:rsidP="008B4DBD">
            <w:pPr>
              <w:pStyle w:val="ae"/>
              <w:ind w:leftChars="-60" w:left="-108"/>
              <w:rPr>
                <w:rFonts w:ascii="Arial" w:eastAsia="宋体" w:hAnsi="Arial" w:cs="Arial"/>
                <w:b/>
                <w:color w:val="auto"/>
                <w:kern w:val="2"/>
                <w:sz w:val="21"/>
                <w:szCs w:val="21"/>
              </w:rPr>
            </w:pPr>
            <w:r>
              <w:rPr>
                <w:rFonts w:ascii="Arial" w:eastAsia="宋体" w:hAnsi="Arial" w:cs="Arial" w:hint="eastAsia"/>
                <w:b/>
                <w:color w:val="auto"/>
                <w:kern w:val="2"/>
                <w:sz w:val="21"/>
                <w:szCs w:val="21"/>
              </w:rPr>
              <w:t>钢钢复合板旋风分离器</w:t>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hint="eastAsia"/>
                <w:color w:val="000000"/>
                <w:kern w:val="2"/>
                <w:sz w:val="21"/>
                <w:szCs w:val="21"/>
              </w:rPr>
              <w:t>钢钢复合板给料仓</w:t>
            </w:r>
          </w:p>
        </w:tc>
      </w:tr>
      <w:tr w:rsidR="008B4DBD" w:rsidTr="008B4DBD">
        <w:trPr>
          <w:trHeight w:val="2622"/>
          <w:jc w:val="center"/>
        </w:trPr>
        <w:tc>
          <w:tcPr>
            <w:tcW w:w="807" w:type="pct"/>
            <w:vMerge/>
            <w:vAlign w:val="center"/>
          </w:tcPr>
          <w:p w:rsidR="008B4DBD" w:rsidRDefault="008B4DBD" w:rsidP="008B4DBD">
            <w:pPr>
              <w:pStyle w:val="af"/>
              <w:rPr>
                <w:rFonts w:ascii="Arial" w:eastAsia="宋体" w:hAnsi="Arial" w:cs="Arial"/>
                <w:color w:val="000000"/>
                <w:kern w:val="2"/>
                <w:sz w:val="21"/>
                <w:szCs w:val="21"/>
              </w:rPr>
            </w:pPr>
          </w:p>
        </w:tc>
        <w:tc>
          <w:tcPr>
            <w:tcW w:w="2136" w:type="pct"/>
            <w:vAlign w:val="center"/>
          </w:tcPr>
          <w:p w:rsidR="008B4DBD" w:rsidRDefault="008B4DBD" w:rsidP="008B4DBD">
            <w:pPr>
              <w:pStyle w:val="ae"/>
              <w:ind w:leftChars="-60" w:left="-108"/>
              <w:rPr>
                <w:rFonts w:ascii="Arial" w:eastAsia="宋体" w:hAnsi="Arial" w:cs="Arial"/>
                <w:color w:val="auto"/>
                <w:kern w:val="2"/>
                <w:sz w:val="21"/>
                <w:szCs w:val="21"/>
              </w:rPr>
            </w:pPr>
            <w:r>
              <w:rPr>
                <w:rFonts w:ascii="Arial" w:eastAsia="宋体" w:hAnsi="Arial" w:cs="Arial"/>
                <w:noProof/>
                <w:color w:val="auto"/>
                <w:kern w:val="2"/>
                <w:sz w:val="21"/>
                <w:szCs w:val="21"/>
              </w:rPr>
              <w:drawing>
                <wp:inline distT="0" distB="0" distL="0" distR="0">
                  <wp:extent cx="2561590" cy="1527175"/>
                  <wp:effectExtent l="0" t="0" r="0" b="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cstate="print">
                            <a:extLst>
                              <a:ext uri="{28A0092B-C50C-407E-A947-70E740481C1C}">
                                <a14:useLocalDpi xmlns:a14="http://schemas.microsoft.com/office/drawing/2010/main" val="0"/>
                              </a:ext>
                            </a:extLst>
                          </a:blip>
                          <a:srcRect t="5668" b="15018"/>
                          <a:stretch>
                            <a:fillRect/>
                          </a:stretch>
                        </pic:blipFill>
                        <pic:spPr>
                          <a:xfrm>
                            <a:off x="0" y="0"/>
                            <a:ext cx="2562225" cy="1528056"/>
                          </a:xfrm>
                          <a:prstGeom prst="rect">
                            <a:avLst/>
                          </a:prstGeom>
                          <a:ln>
                            <a:noFill/>
                          </a:ln>
                        </pic:spPr>
                      </pic:pic>
                    </a:graphicData>
                  </a:graphic>
                </wp:inline>
              </w:drawing>
            </w:r>
          </w:p>
        </w:tc>
        <w:tc>
          <w:tcPr>
            <w:tcW w:w="2057" w:type="pct"/>
            <w:vAlign w:val="center"/>
          </w:tcPr>
          <w:p w:rsidR="008B4DBD" w:rsidRDefault="008B4DBD" w:rsidP="008B4DBD">
            <w:pPr>
              <w:pStyle w:val="af"/>
              <w:ind w:leftChars="-60" w:left="-108"/>
              <w:rPr>
                <w:rFonts w:ascii="Arial" w:eastAsia="宋体" w:hAnsi="Arial" w:cs="Arial"/>
                <w:b w:val="0"/>
                <w:color w:val="000000"/>
                <w:kern w:val="2"/>
                <w:sz w:val="21"/>
                <w:szCs w:val="21"/>
              </w:rPr>
            </w:pPr>
            <w:r>
              <w:rPr>
                <w:rFonts w:ascii="Arial" w:hAnsi="Arial" w:cs="Arial"/>
                <w:b w:val="0"/>
                <w:noProof/>
                <w:color w:val="000000"/>
                <w:kern w:val="2"/>
                <w:szCs w:val="21"/>
              </w:rPr>
              <w:drawing>
                <wp:inline distT="0" distB="0" distL="0" distR="0">
                  <wp:extent cx="2398092" cy="1608928"/>
                  <wp:effectExtent l="0" t="0" r="2540" b="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extLst>
                              <a:ext uri="{28A0092B-C50C-407E-A947-70E740481C1C}">
                                <a14:useLocalDpi xmlns:a14="http://schemas.microsoft.com/office/drawing/2010/main" val="0"/>
                              </a:ext>
                            </a:extLst>
                          </a:blip>
                          <a:srcRect t="2893" b="-1"/>
                          <a:stretch>
                            <a:fillRect/>
                          </a:stretch>
                        </pic:blipFill>
                        <pic:spPr>
                          <a:xfrm>
                            <a:off x="0" y="0"/>
                            <a:ext cx="2400446" cy="1610507"/>
                          </a:xfrm>
                          <a:prstGeom prst="rect">
                            <a:avLst/>
                          </a:prstGeom>
                          <a:ln>
                            <a:noFill/>
                          </a:ln>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f"/>
              <w:rPr>
                <w:rFonts w:ascii="Arial" w:eastAsia="宋体" w:hAnsi="Arial" w:cs="Arial"/>
                <w:color w:val="000000"/>
                <w:kern w:val="2"/>
                <w:sz w:val="21"/>
                <w:szCs w:val="21"/>
              </w:rPr>
            </w:pPr>
          </w:p>
        </w:tc>
        <w:tc>
          <w:tcPr>
            <w:tcW w:w="2136" w:type="pct"/>
            <w:vAlign w:val="center"/>
          </w:tcPr>
          <w:p w:rsidR="008B4DBD" w:rsidRDefault="008B4DBD" w:rsidP="008B4DBD">
            <w:pPr>
              <w:pStyle w:val="ae"/>
              <w:ind w:leftChars="-60" w:left="-108"/>
              <w:rPr>
                <w:rFonts w:ascii="Arial" w:eastAsia="宋体" w:hAnsi="Arial" w:cs="Arial"/>
                <w:b/>
                <w:color w:val="auto"/>
                <w:kern w:val="2"/>
                <w:sz w:val="21"/>
                <w:szCs w:val="21"/>
              </w:rPr>
            </w:pPr>
            <w:r>
              <w:rPr>
                <w:rFonts w:ascii="Arial" w:eastAsia="宋体" w:hAnsi="Arial" w:cs="Arial" w:hint="eastAsia"/>
                <w:b/>
                <w:color w:val="auto"/>
                <w:kern w:val="2"/>
                <w:sz w:val="21"/>
                <w:szCs w:val="21"/>
              </w:rPr>
              <w:t>渣收集器</w:t>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hint="eastAsia"/>
                <w:color w:val="000000"/>
                <w:kern w:val="2"/>
                <w:sz w:val="21"/>
                <w:szCs w:val="21"/>
              </w:rPr>
              <w:t>洗涤塔</w:t>
            </w:r>
          </w:p>
        </w:tc>
      </w:tr>
      <w:tr w:rsidR="008B4DBD" w:rsidTr="008B4DBD">
        <w:trPr>
          <w:trHeight w:val="482"/>
          <w:jc w:val="center"/>
        </w:trPr>
        <w:tc>
          <w:tcPr>
            <w:tcW w:w="807" w:type="pct"/>
            <w:vAlign w:val="center"/>
          </w:tcPr>
          <w:p w:rsidR="008B4DBD" w:rsidRDefault="008B4DBD" w:rsidP="008B4DBD">
            <w:pPr>
              <w:pStyle w:val="af"/>
              <w:rPr>
                <w:rFonts w:ascii="Arial" w:eastAsia="宋体" w:hAnsi="Arial" w:cs="Arial"/>
                <w:color w:val="000000"/>
                <w:kern w:val="2"/>
                <w:sz w:val="21"/>
                <w:szCs w:val="21"/>
              </w:rPr>
            </w:pPr>
            <w:r>
              <w:rPr>
                <w:rFonts w:ascii="Arial" w:eastAsia="宋体" w:hAnsi="Arial" w:cs="Arial"/>
                <w:color w:val="000000"/>
                <w:kern w:val="2"/>
                <w:sz w:val="21"/>
                <w:szCs w:val="21"/>
              </w:rPr>
              <w:t>新能源</w:t>
            </w:r>
          </w:p>
        </w:tc>
        <w:tc>
          <w:tcPr>
            <w:tcW w:w="2136" w:type="pct"/>
            <w:vAlign w:val="center"/>
          </w:tcPr>
          <w:p w:rsidR="008B4DBD" w:rsidRDefault="008B4DBD" w:rsidP="008B4DBD">
            <w:pPr>
              <w:pStyle w:val="ae"/>
              <w:ind w:leftChars="-60" w:left="-108"/>
              <w:rPr>
                <w:rFonts w:ascii="Arial" w:eastAsia="宋体" w:hAnsi="Arial" w:cs="Arial"/>
                <w:color w:val="auto"/>
                <w:kern w:val="2"/>
                <w:sz w:val="21"/>
                <w:szCs w:val="21"/>
              </w:rPr>
            </w:pPr>
          </w:p>
        </w:tc>
        <w:tc>
          <w:tcPr>
            <w:tcW w:w="2057" w:type="pct"/>
            <w:vAlign w:val="center"/>
          </w:tcPr>
          <w:p w:rsidR="008B4DBD" w:rsidRDefault="008B4DBD" w:rsidP="008B4DBD">
            <w:pPr>
              <w:pStyle w:val="af"/>
              <w:ind w:leftChars="-60" w:left="-108"/>
              <w:jc w:val="left"/>
              <w:rPr>
                <w:rFonts w:ascii="Arial" w:eastAsia="宋体" w:hAnsi="Arial" w:cs="Arial"/>
                <w:b w:val="0"/>
                <w:color w:val="000000"/>
                <w:kern w:val="2"/>
                <w:sz w:val="21"/>
                <w:szCs w:val="21"/>
              </w:rPr>
            </w:pPr>
          </w:p>
        </w:tc>
      </w:tr>
      <w:tr w:rsidR="008B4DBD" w:rsidTr="008B4DBD">
        <w:trPr>
          <w:trHeight w:val="2276"/>
          <w:jc w:val="center"/>
        </w:trPr>
        <w:tc>
          <w:tcPr>
            <w:tcW w:w="807" w:type="pct"/>
            <w:vMerge w:val="restart"/>
            <w:vAlign w:val="center"/>
          </w:tcPr>
          <w:p w:rsidR="008B4DBD" w:rsidRDefault="008B4DBD" w:rsidP="008B4DBD">
            <w:pPr>
              <w:pStyle w:val="af"/>
              <w:spacing w:line="360" w:lineRule="auto"/>
              <w:rPr>
                <w:rFonts w:ascii="Arial" w:eastAsia="宋体" w:hAnsi="Arial" w:cs="Arial"/>
                <w:color w:val="000000"/>
                <w:kern w:val="2"/>
                <w:sz w:val="21"/>
                <w:szCs w:val="21"/>
              </w:rPr>
            </w:pPr>
            <w:r>
              <w:rPr>
                <w:rFonts w:ascii="Arial" w:eastAsia="宋体" w:hAnsi="Arial" w:cs="Arial"/>
                <w:color w:val="000000"/>
                <w:kern w:val="2"/>
                <w:sz w:val="21"/>
                <w:szCs w:val="21"/>
              </w:rPr>
              <w:t>动力电池</w:t>
            </w:r>
          </w:p>
        </w:tc>
        <w:tc>
          <w:tcPr>
            <w:tcW w:w="2136" w:type="pct"/>
            <w:vAlign w:val="center"/>
          </w:tcPr>
          <w:p w:rsidR="008B4DBD" w:rsidRDefault="008B4DBD" w:rsidP="008B4DBD">
            <w:pPr>
              <w:pStyle w:val="ae"/>
              <w:ind w:leftChars="18" w:left="32"/>
              <w:rPr>
                <w:rFonts w:ascii="Arial" w:eastAsia="宋体" w:hAnsi="Arial" w:cs="Arial"/>
                <w:color w:val="auto"/>
                <w:kern w:val="2"/>
                <w:sz w:val="21"/>
                <w:szCs w:val="21"/>
              </w:rPr>
            </w:pPr>
            <w:r>
              <w:rPr>
                <w:rFonts w:ascii="Arial" w:eastAsia="宋体" w:hAnsi="Arial" w:cs="Arial"/>
                <w:noProof/>
                <w:color w:val="auto"/>
                <w:kern w:val="2"/>
                <w:sz w:val="21"/>
                <w:szCs w:val="21"/>
              </w:rPr>
              <w:drawing>
                <wp:inline distT="0" distB="0" distL="0" distR="0">
                  <wp:extent cx="2390775" cy="1428750"/>
                  <wp:effectExtent l="0" t="0" r="0" b="0"/>
                  <wp:docPr id="43" name="图片 5" descr="55316c03bbf42e75f01ca95a4835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descr="55316c03bbf42e75f01ca95a4835e67"/>
                          <pic:cNvPicPr>
                            <a:picLocks noChangeAspect="1" noChangeArrowheads="1"/>
                          </pic:cNvPicPr>
                        </pic:nvPicPr>
                        <pic:blipFill>
                          <a:blip r:embed="rId28" cstate="print">
                            <a:extLst>
                              <a:ext uri="{28A0092B-C50C-407E-A947-70E740481C1C}">
                                <a14:useLocalDpi xmlns:a14="http://schemas.microsoft.com/office/drawing/2010/main" val="0"/>
                              </a:ext>
                            </a:extLst>
                          </a:blip>
                          <a:srcRect l="9557" t="10242" r="3412" b="11801"/>
                          <a:stretch>
                            <a:fillRect/>
                          </a:stretch>
                        </pic:blipFill>
                        <pic:spPr>
                          <a:xfrm>
                            <a:off x="0" y="0"/>
                            <a:ext cx="2390775" cy="1428750"/>
                          </a:xfrm>
                          <a:prstGeom prst="rect">
                            <a:avLst/>
                          </a:prstGeom>
                          <a:noFill/>
                          <a:ln>
                            <a:noFill/>
                          </a:ln>
                        </pic:spPr>
                      </pic:pic>
                    </a:graphicData>
                  </a:graphic>
                </wp:inline>
              </w:drawing>
            </w:r>
          </w:p>
        </w:tc>
        <w:tc>
          <w:tcPr>
            <w:tcW w:w="2057" w:type="pct"/>
            <w:vAlign w:val="center"/>
          </w:tcPr>
          <w:p w:rsidR="008B4DBD" w:rsidRDefault="008B4DBD" w:rsidP="008B4DBD">
            <w:pPr>
              <w:pStyle w:val="af"/>
              <w:rPr>
                <w:rFonts w:ascii="Arial" w:eastAsia="宋体" w:hAnsi="Arial" w:cs="Arial"/>
                <w:b w:val="0"/>
                <w:color w:val="000000"/>
                <w:kern w:val="2"/>
                <w:sz w:val="21"/>
                <w:szCs w:val="21"/>
              </w:rPr>
            </w:pPr>
            <w:r>
              <w:rPr>
                <w:rFonts w:ascii="Arial" w:eastAsia="宋体" w:hAnsi="Arial" w:cs="Arial"/>
                <w:b w:val="0"/>
                <w:noProof/>
                <w:color w:val="000000"/>
                <w:kern w:val="2"/>
                <w:sz w:val="21"/>
                <w:szCs w:val="21"/>
              </w:rPr>
              <w:drawing>
                <wp:inline distT="0" distB="0" distL="0" distR="0">
                  <wp:extent cx="2461895" cy="1417320"/>
                  <wp:effectExtent l="0" t="0" r="0" b="0"/>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61895" cy="1417320"/>
                          </a:xfrm>
                          <a:prstGeom prst="rect">
                            <a:avLst/>
                          </a:prstGeom>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f"/>
              <w:rPr>
                <w:rFonts w:ascii="Arial" w:eastAsia="宋体" w:hAnsi="Arial" w:cs="Arial"/>
                <w:color w:val="000000"/>
                <w:kern w:val="2"/>
                <w:sz w:val="21"/>
                <w:szCs w:val="21"/>
              </w:rPr>
            </w:pPr>
          </w:p>
        </w:tc>
        <w:tc>
          <w:tcPr>
            <w:tcW w:w="2136" w:type="pct"/>
            <w:vAlign w:val="center"/>
          </w:tcPr>
          <w:p w:rsidR="008B4DBD" w:rsidRDefault="008B4DBD" w:rsidP="008B4DBD">
            <w:pPr>
              <w:pStyle w:val="ae"/>
              <w:spacing w:line="300" w:lineRule="auto"/>
              <w:ind w:leftChars="-60" w:left="-108"/>
              <w:rPr>
                <w:rFonts w:ascii="Arial" w:eastAsia="宋体" w:hAnsi="Arial" w:cs="Arial"/>
                <w:b/>
                <w:color w:val="auto"/>
                <w:kern w:val="2"/>
                <w:sz w:val="21"/>
                <w:szCs w:val="21"/>
              </w:rPr>
            </w:pPr>
            <w:r>
              <w:rPr>
                <w:rFonts w:ascii="Arial" w:eastAsia="宋体" w:hAnsi="Arial" w:cs="Arial"/>
                <w:b/>
                <w:color w:val="auto"/>
                <w:kern w:val="2"/>
                <w:sz w:val="21"/>
                <w:szCs w:val="21"/>
              </w:rPr>
              <w:t>钛钯合金复合板高压反应釜</w:t>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color w:val="000000"/>
                <w:kern w:val="2"/>
                <w:sz w:val="21"/>
                <w:szCs w:val="21"/>
              </w:rPr>
              <w:t>钛钢复合板</w:t>
            </w:r>
            <w:r>
              <w:rPr>
                <w:rFonts w:ascii="Arial" w:eastAsia="宋体" w:hAnsi="Arial" w:cs="Arial" w:hint="eastAsia"/>
                <w:color w:val="000000"/>
                <w:kern w:val="2"/>
                <w:sz w:val="21"/>
                <w:szCs w:val="21"/>
              </w:rPr>
              <w:t>高压</w:t>
            </w:r>
            <w:r>
              <w:rPr>
                <w:rFonts w:ascii="Arial" w:eastAsia="宋体" w:hAnsi="Arial" w:cs="Arial"/>
                <w:color w:val="000000"/>
                <w:kern w:val="2"/>
                <w:sz w:val="21"/>
                <w:szCs w:val="21"/>
              </w:rPr>
              <w:t>加压釜</w:t>
            </w:r>
          </w:p>
        </w:tc>
      </w:tr>
      <w:tr w:rsidR="008B4DBD" w:rsidTr="008B4DBD">
        <w:trPr>
          <w:trHeight w:val="2365"/>
          <w:jc w:val="center"/>
        </w:trPr>
        <w:tc>
          <w:tcPr>
            <w:tcW w:w="807" w:type="pct"/>
            <w:vMerge w:val="restart"/>
            <w:vAlign w:val="center"/>
          </w:tcPr>
          <w:p w:rsidR="008B4DBD" w:rsidRDefault="008B4DBD" w:rsidP="008B4DBD">
            <w:pPr>
              <w:pStyle w:val="af"/>
              <w:spacing w:line="360" w:lineRule="auto"/>
              <w:rPr>
                <w:rFonts w:ascii="Arial" w:eastAsia="宋体" w:hAnsi="Arial" w:cs="Arial"/>
                <w:color w:val="000000"/>
                <w:kern w:val="2"/>
                <w:sz w:val="21"/>
                <w:szCs w:val="21"/>
              </w:rPr>
            </w:pPr>
            <w:r>
              <w:rPr>
                <w:rFonts w:ascii="Arial" w:eastAsia="宋体" w:hAnsi="Arial" w:cs="Arial"/>
                <w:color w:val="000000"/>
                <w:kern w:val="2"/>
                <w:sz w:val="21"/>
                <w:szCs w:val="21"/>
              </w:rPr>
              <w:t>光伏多晶硅</w:t>
            </w:r>
          </w:p>
        </w:tc>
        <w:tc>
          <w:tcPr>
            <w:tcW w:w="2136" w:type="pct"/>
            <w:vAlign w:val="center"/>
          </w:tcPr>
          <w:p w:rsidR="008B4DBD" w:rsidRDefault="008B4DBD" w:rsidP="008B4DBD">
            <w:pPr>
              <w:pStyle w:val="ae"/>
              <w:rPr>
                <w:rFonts w:ascii="Arial" w:eastAsia="宋体" w:hAnsi="Arial" w:cs="Arial"/>
                <w:color w:val="auto"/>
                <w:kern w:val="2"/>
                <w:sz w:val="21"/>
                <w:szCs w:val="21"/>
              </w:rPr>
            </w:pPr>
            <w:r>
              <w:rPr>
                <w:rFonts w:ascii="Arial" w:eastAsia="宋体" w:hAnsi="Arial" w:cs="Arial"/>
                <w:noProof/>
                <w:color w:val="auto"/>
                <w:kern w:val="2"/>
                <w:sz w:val="21"/>
                <w:szCs w:val="21"/>
              </w:rPr>
              <w:drawing>
                <wp:inline distT="0" distB="0" distL="0" distR="0">
                  <wp:extent cx="2447925" cy="1457325"/>
                  <wp:effectExtent l="0" t="0" r="0" b="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noChangeArrowheads="1"/>
                          </pic:cNvPicPr>
                        </pic:nvPicPr>
                        <pic:blipFill>
                          <a:blip r:embed="rId30">
                            <a:extLst>
                              <a:ext uri="{28A0092B-C50C-407E-A947-70E740481C1C}">
                                <a14:useLocalDpi xmlns:a14="http://schemas.microsoft.com/office/drawing/2010/main" val="0"/>
                              </a:ext>
                            </a:extLst>
                          </a:blip>
                          <a:srcRect l="3377" t="7362" r="11205"/>
                          <a:stretch>
                            <a:fillRect/>
                          </a:stretch>
                        </pic:blipFill>
                        <pic:spPr>
                          <a:xfrm>
                            <a:off x="0" y="0"/>
                            <a:ext cx="2447925" cy="1457325"/>
                          </a:xfrm>
                          <a:prstGeom prst="rect">
                            <a:avLst/>
                          </a:prstGeom>
                          <a:noFill/>
                          <a:ln>
                            <a:noFill/>
                          </a:ln>
                        </pic:spPr>
                      </pic:pic>
                    </a:graphicData>
                  </a:graphic>
                </wp:inline>
              </w:drawing>
            </w:r>
          </w:p>
        </w:tc>
        <w:tc>
          <w:tcPr>
            <w:tcW w:w="2057" w:type="pct"/>
            <w:vAlign w:val="center"/>
          </w:tcPr>
          <w:p w:rsidR="008B4DBD" w:rsidRPr="00987A97" w:rsidRDefault="008B4DBD" w:rsidP="008B4DBD">
            <w:pPr>
              <w:pStyle w:val="af"/>
              <w:rPr>
                <w:rFonts w:ascii="Arial" w:eastAsia="宋体" w:hAnsi="Arial" w:cs="Arial"/>
                <w:b w:val="0"/>
                <w:strike/>
                <w:color w:val="000000"/>
                <w:kern w:val="2"/>
                <w:sz w:val="21"/>
                <w:szCs w:val="21"/>
              </w:rPr>
            </w:pPr>
            <w:r>
              <w:rPr>
                <w:rFonts w:ascii="Arial" w:eastAsia="宋体" w:hAnsi="Arial" w:cs="Arial"/>
                <w:b w:val="0"/>
                <w:strike/>
                <w:noProof/>
                <w:color w:val="000000"/>
                <w:kern w:val="2"/>
                <w:sz w:val="21"/>
                <w:szCs w:val="21"/>
              </w:rPr>
              <w:drawing>
                <wp:inline distT="0" distB="0" distL="0" distR="0">
                  <wp:extent cx="2411599" cy="1448698"/>
                  <wp:effectExtent l="0" t="0" r="8255" b="0"/>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镍基合金流化床反应器.jpg"/>
                          <pic:cNvPicPr/>
                        </pic:nvPicPr>
                        <pic:blipFill rotWithShape="1">
                          <a:blip r:embed="rId31" cstate="print">
                            <a:extLst>
                              <a:ext uri="{28A0092B-C50C-407E-A947-70E740481C1C}">
                                <a14:useLocalDpi xmlns:a14="http://schemas.microsoft.com/office/drawing/2010/main" val="0"/>
                              </a:ext>
                            </a:extLst>
                          </a:blip>
                          <a:srcRect t="19861"/>
                          <a:stretch/>
                        </pic:blipFill>
                        <pic:spPr bwMode="auto">
                          <a:xfrm>
                            <a:off x="0" y="0"/>
                            <a:ext cx="2414647" cy="1450529"/>
                          </a:xfrm>
                          <a:prstGeom prst="rect">
                            <a:avLst/>
                          </a:prstGeom>
                          <a:ln>
                            <a:noFill/>
                          </a:ln>
                          <a:extLst>
                            <a:ext uri="{53640926-AAD7-44D8-BBD7-CCE9431645EC}">
                              <a14:shadowObscured xmlns:a14="http://schemas.microsoft.com/office/drawing/2010/main"/>
                            </a:ext>
                          </a:extLst>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f"/>
              <w:spacing w:line="360" w:lineRule="auto"/>
              <w:rPr>
                <w:rFonts w:ascii="Arial" w:eastAsia="宋体" w:hAnsi="Arial" w:cs="Arial"/>
                <w:color w:val="000000"/>
                <w:kern w:val="2"/>
                <w:sz w:val="21"/>
                <w:szCs w:val="22"/>
              </w:rPr>
            </w:pPr>
          </w:p>
        </w:tc>
        <w:tc>
          <w:tcPr>
            <w:tcW w:w="2136" w:type="pct"/>
            <w:vAlign w:val="center"/>
          </w:tcPr>
          <w:p w:rsidR="008B4DBD" w:rsidRDefault="008B4DBD" w:rsidP="008B4DBD">
            <w:pPr>
              <w:pStyle w:val="ae"/>
              <w:ind w:leftChars="-60" w:left="-108"/>
              <w:rPr>
                <w:rFonts w:ascii="Arial" w:eastAsia="宋体" w:hAnsi="Arial" w:cs="Arial"/>
                <w:b/>
                <w:color w:val="auto"/>
                <w:kern w:val="2"/>
                <w:sz w:val="21"/>
                <w:szCs w:val="21"/>
              </w:rPr>
            </w:pPr>
            <w:r>
              <w:rPr>
                <w:rFonts w:ascii="Arial" w:eastAsia="宋体" w:hAnsi="Arial" w:cs="Arial" w:hint="eastAsia"/>
                <w:b/>
                <w:color w:val="auto"/>
                <w:kern w:val="2"/>
                <w:sz w:val="21"/>
                <w:szCs w:val="21"/>
              </w:rPr>
              <w:t>镍基合金流化床反应器</w:t>
            </w:r>
          </w:p>
        </w:tc>
        <w:tc>
          <w:tcPr>
            <w:tcW w:w="2057" w:type="pct"/>
            <w:vAlign w:val="center"/>
          </w:tcPr>
          <w:p w:rsidR="008B4DBD" w:rsidRDefault="008B4DBD" w:rsidP="008B4DBD">
            <w:pPr>
              <w:pStyle w:val="af"/>
              <w:rPr>
                <w:rFonts w:ascii="Arial" w:eastAsia="宋体" w:hAnsi="Arial" w:cs="Arial"/>
                <w:color w:val="000000"/>
                <w:kern w:val="2"/>
                <w:sz w:val="21"/>
                <w:szCs w:val="22"/>
              </w:rPr>
            </w:pPr>
            <w:r>
              <w:rPr>
                <w:rFonts w:ascii="Arial" w:eastAsia="宋体" w:hAnsi="Arial" w:cs="Arial" w:hint="eastAsia"/>
                <w:color w:val="auto"/>
                <w:kern w:val="2"/>
                <w:sz w:val="21"/>
                <w:szCs w:val="21"/>
              </w:rPr>
              <w:t>镍基合金</w:t>
            </w:r>
            <w:r>
              <w:rPr>
                <w:rFonts w:ascii="Arial" w:eastAsia="宋体" w:hAnsi="Arial" w:cs="Arial"/>
                <w:color w:val="auto"/>
                <w:kern w:val="2"/>
                <w:sz w:val="21"/>
                <w:szCs w:val="21"/>
              </w:rPr>
              <w:t>流化床</w:t>
            </w:r>
            <w:r>
              <w:rPr>
                <w:rFonts w:ascii="Arial" w:eastAsia="宋体" w:hAnsi="Arial" w:cs="Arial" w:hint="eastAsia"/>
                <w:color w:val="auto"/>
                <w:kern w:val="2"/>
                <w:sz w:val="21"/>
                <w:szCs w:val="21"/>
              </w:rPr>
              <w:t>反应器</w:t>
            </w:r>
          </w:p>
        </w:tc>
      </w:tr>
      <w:tr w:rsidR="008B4DBD" w:rsidTr="008B4DBD">
        <w:trPr>
          <w:trHeight w:val="2483"/>
          <w:jc w:val="center"/>
        </w:trPr>
        <w:tc>
          <w:tcPr>
            <w:tcW w:w="807" w:type="pct"/>
            <w:vMerge/>
            <w:vAlign w:val="center"/>
          </w:tcPr>
          <w:p w:rsidR="008B4DBD" w:rsidRDefault="008B4DBD" w:rsidP="008B4DBD">
            <w:pPr>
              <w:pStyle w:val="af"/>
              <w:spacing w:line="360" w:lineRule="auto"/>
              <w:rPr>
                <w:rFonts w:ascii="Arial" w:eastAsia="宋体" w:hAnsi="Arial" w:cs="Arial"/>
                <w:color w:val="000000"/>
                <w:kern w:val="2"/>
                <w:sz w:val="21"/>
                <w:szCs w:val="22"/>
              </w:rPr>
            </w:pPr>
          </w:p>
        </w:tc>
        <w:tc>
          <w:tcPr>
            <w:tcW w:w="2136" w:type="pct"/>
            <w:vAlign w:val="center"/>
          </w:tcPr>
          <w:p w:rsidR="008B4DBD" w:rsidRDefault="008B4DBD" w:rsidP="008B4DBD">
            <w:pPr>
              <w:pStyle w:val="ae"/>
              <w:ind w:leftChars="-10" w:left="-18"/>
              <w:rPr>
                <w:rFonts w:ascii="Arial" w:eastAsia="宋体" w:hAnsi="Arial" w:cs="Arial"/>
                <w:b/>
                <w:color w:val="auto"/>
                <w:kern w:val="2"/>
                <w:sz w:val="21"/>
                <w:szCs w:val="21"/>
              </w:rPr>
            </w:pPr>
            <w:r>
              <w:rPr>
                <w:rFonts w:ascii="Arial" w:eastAsia="宋体" w:hAnsi="Arial" w:cs="Arial"/>
                <w:b/>
                <w:noProof/>
                <w:color w:val="auto"/>
                <w:kern w:val="2"/>
                <w:sz w:val="21"/>
                <w:szCs w:val="21"/>
              </w:rPr>
              <w:drawing>
                <wp:inline distT="0" distB="0" distL="0" distR="0">
                  <wp:extent cx="2472590" cy="1483995"/>
                  <wp:effectExtent l="0" t="0" r="4445" b="1905"/>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镍基合金冷氢化换热器.jpg"/>
                          <pic:cNvPicPr/>
                        </pic:nvPicPr>
                        <pic:blipFill rotWithShape="1">
                          <a:blip r:embed="rId32" cstate="print">
                            <a:extLst>
                              <a:ext uri="{28A0092B-C50C-407E-A947-70E740481C1C}">
                                <a14:useLocalDpi xmlns:a14="http://schemas.microsoft.com/office/drawing/2010/main" val="0"/>
                              </a:ext>
                            </a:extLst>
                          </a:blip>
                          <a:srcRect t="6514" b="13428"/>
                          <a:stretch/>
                        </pic:blipFill>
                        <pic:spPr bwMode="auto">
                          <a:xfrm>
                            <a:off x="0" y="0"/>
                            <a:ext cx="2473325" cy="1484436"/>
                          </a:xfrm>
                          <a:prstGeom prst="rect">
                            <a:avLst/>
                          </a:prstGeom>
                          <a:ln>
                            <a:noFill/>
                          </a:ln>
                          <a:extLst>
                            <a:ext uri="{53640926-AAD7-44D8-BBD7-CCE9431645EC}">
                              <a14:shadowObscured xmlns:a14="http://schemas.microsoft.com/office/drawing/2010/main"/>
                            </a:ext>
                          </a:extLst>
                        </pic:spPr>
                      </pic:pic>
                    </a:graphicData>
                  </a:graphic>
                </wp:inline>
              </w:drawing>
            </w:r>
          </w:p>
        </w:tc>
        <w:tc>
          <w:tcPr>
            <w:tcW w:w="2057" w:type="pct"/>
            <w:vAlign w:val="center"/>
          </w:tcPr>
          <w:p w:rsidR="008B4DBD" w:rsidRDefault="008B4DBD" w:rsidP="008B4DBD">
            <w:pPr>
              <w:pStyle w:val="af"/>
              <w:ind w:leftChars="-52" w:left="-94"/>
              <w:rPr>
                <w:rFonts w:ascii="Arial" w:eastAsia="宋体" w:hAnsi="Arial" w:cs="Arial"/>
                <w:color w:val="auto"/>
                <w:kern w:val="2"/>
                <w:sz w:val="21"/>
                <w:szCs w:val="21"/>
              </w:rPr>
            </w:pPr>
            <w:r>
              <w:rPr>
                <w:rFonts w:ascii="Arial" w:eastAsia="宋体" w:hAnsi="Arial" w:cs="Arial" w:hint="eastAsia"/>
                <w:b w:val="0"/>
                <w:noProof/>
                <w:color w:val="auto"/>
                <w:kern w:val="2"/>
                <w:sz w:val="21"/>
                <w:szCs w:val="21"/>
              </w:rPr>
              <w:drawing>
                <wp:inline distT="0" distB="0" distL="0" distR="0">
                  <wp:extent cx="2403475" cy="1465376"/>
                  <wp:effectExtent l="0" t="0" r="0" b="190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4889" cy="1466238"/>
                          </a:xfrm>
                          <a:prstGeom prst="rect">
                            <a:avLst/>
                          </a:prstGeom>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f"/>
              <w:spacing w:line="360" w:lineRule="auto"/>
              <w:rPr>
                <w:rFonts w:ascii="Arial" w:eastAsia="宋体" w:hAnsi="Arial" w:cs="Arial"/>
                <w:color w:val="000000"/>
                <w:kern w:val="2"/>
                <w:sz w:val="21"/>
                <w:szCs w:val="22"/>
              </w:rPr>
            </w:pPr>
          </w:p>
        </w:tc>
        <w:tc>
          <w:tcPr>
            <w:tcW w:w="2136" w:type="pct"/>
            <w:vAlign w:val="center"/>
          </w:tcPr>
          <w:p w:rsidR="008B4DBD" w:rsidRDefault="008B4DBD" w:rsidP="008B4DBD">
            <w:pPr>
              <w:pStyle w:val="ae"/>
              <w:ind w:leftChars="-60" w:left="-108"/>
              <w:rPr>
                <w:rFonts w:ascii="Arial" w:eastAsia="宋体" w:hAnsi="Arial" w:cs="Arial"/>
                <w:b/>
                <w:color w:val="auto"/>
                <w:kern w:val="2"/>
                <w:sz w:val="21"/>
                <w:szCs w:val="21"/>
              </w:rPr>
            </w:pPr>
            <w:r>
              <w:rPr>
                <w:rFonts w:ascii="Arial" w:eastAsia="宋体" w:hAnsi="Arial" w:cs="Arial" w:hint="eastAsia"/>
                <w:b/>
                <w:color w:val="auto"/>
                <w:kern w:val="2"/>
                <w:sz w:val="21"/>
                <w:szCs w:val="21"/>
              </w:rPr>
              <w:t>镍基合金冷氢化换热器</w:t>
            </w:r>
          </w:p>
        </w:tc>
        <w:tc>
          <w:tcPr>
            <w:tcW w:w="2057" w:type="pct"/>
            <w:vAlign w:val="center"/>
          </w:tcPr>
          <w:p w:rsidR="008B4DBD" w:rsidRDefault="008B4DBD" w:rsidP="008B4DBD">
            <w:pPr>
              <w:pStyle w:val="af"/>
              <w:rPr>
                <w:rFonts w:ascii="Arial" w:eastAsia="宋体" w:hAnsi="Arial" w:cs="Arial"/>
                <w:color w:val="auto"/>
                <w:kern w:val="2"/>
                <w:sz w:val="21"/>
                <w:szCs w:val="21"/>
              </w:rPr>
            </w:pPr>
            <w:r>
              <w:rPr>
                <w:rFonts w:ascii="Arial" w:eastAsia="宋体" w:hAnsi="Arial" w:cs="Arial" w:hint="eastAsia"/>
                <w:color w:val="auto"/>
                <w:kern w:val="2"/>
                <w:sz w:val="21"/>
                <w:szCs w:val="21"/>
              </w:rPr>
              <w:t>镍基合金冷氢化流化床反应器</w:t>
            </w:r>
          </w:p>
        </w:tc>
      </w:tr>
      <w:tr w:rsidR="008B4DBD" w:rsidTr="008B4DBD">
        <w:trPr>
          <w:trHeight w:val="2326"/>
          <w:jc w:val="center"/>
        </w:trPr>
        <w:tc>
          <w:tcPr>
            <w:tcW w:w="807" w:type="pct"/>
            <w:vMerge w:val="restart"/>
            <w:vAlign w:val="center"/>
          </w:tcPr>
          <w:p w:rsidR="008B4DBD" w:rsidRDefault="008B4DBD" w:rsidP="008B4DBD">
            <w:pPr>
              <w:pStyle w:val="af"/>
              <w:spacing w:line="360" w:lineRule="auto"/>
              <w:rPr>
                <w:rFonts w:ascii="Arial" w:eastAsia="宋体" w:hAnsi="Arial" w:cs="Arial"/>
                <w:color w:val="000000"/>
                <w:kern w:val="2"/>
                <w:sz w:val="21"/>
                <w:szCs w:val="21"/>
              </w:rPr>
            </w:pPr>
            <w:r>
              <w:rPr>
                <w:rFonts w:ascii="Arial" w:eastAsia="宋体" w:hAnsi="Arial" w:cs="Arial" w:hint="eastAsia"/>
                <w:color w:val="000000"/>
                <w:kern w:val="2"/>
                <w:sz w:val="21"/>
                <w:szCs w:val="21"/>
              </w:rPr>
              <w:t>电力</w:t>
            </w:r>
          </w:p>
          <w:p w:rsidR="008B4DBD" w:rsidRDefault="008B4DBD" w:rsidP="008B4DBD">
            <w:pPr>
              <w:pStyle w:val="af"/>
              <w:spacing w:line="360" w:lineRule="auto"/>
              <w:rPr>
                <w:rFonts w:ascii="Arial" w:eastAsia="宋体" w:hAnsi="Arial" w:cs="Arial"/>
                <w:color w:val="000000"/>
                <w:kern w:val="2"/>
                <w:sz w:val="21"/>
                <w:szCs w:val="21"/>
              </w:rPr>
            </w:pPr>
            <w:r>
              <w:rPr>
                <w:rFonts w:ascii="Arial" w:eastAsia="宋体" w:hAnsi="Arial" w:cs="Arial"/>
                <w:color w:val="000000"/>
                <w:kern w:val="2"/>
                <w:sz w:val="21"/>
                <w:szCs w:val="21"/>
              </w:rPr>
              <w:t>地热发电</w:t>
            </w:r>
          </w:p>
          <w:p w:rsidR="008B4DBD" w:rsidRDefault="008B4DBD" w:rsidP="008B4DBD">
            <w:pPr>
              <w:pStyle w:val="af"/>
              <w:spacing w:line="360" w:lineRule="auto"/>
              <w:rPr>
                <w:rFonts w:ascii="Arial" w:eastAsia="宋体" w:hAnsi="Arial" w:cs="Arial"/>
                <w:color w:val="000000"/>
                <w:kern w:val="2"/>
                <w:sz w:val="21"/>
                <w:szCs w:val="21"/>
              </w:rPr>
            </w:pPr>
            <w:r>
              <w:rPr>
                <w:rFonts w:ascii="Arial" w:eastAsia="宋体" w:hAnsi="Arial" w:cs="Arial"/>
                <w:color w:val="000000"/>
                <w:kern w:val="2"/>
                <w:sz w:val="21"/>
                <w:szCs w:val="21"/>
              </w:rPr>
              <w:t>光热发电</w:t>
            </w:r>
          </w:p>
        </w:tc>
        <w:tc>
          <w:tcPr>
            <w:tcW w:w="2136" w:type="pct"/>
            <w:vAlign w:val="center"/>
          </w:tcPr>
          <w:p w:rsidR="008B4DBD" w:rsidRDefault="008B4DBD" w:rsidP="008B4DBD">
            <w:pPr>
              <w:pStyle w:val="ae"/>
              <w:rPr>
                <w:rFonts w:ascii="Arial" w:eastAsia="宋体" w:hAnsi="Arial" w:cs="Arial"/>
                <w:color w:val="auto"/>
                <w:kern w:val="2"/>
                <w:sz w:val="21"/>
                <w:szCs w:val="21"/>
              </w:rPr>
            </w:pPr>
            <w:r>
              <w:rPr>
                <w:rFonts w:ascii="Arial" w:eastAsia="宋体" w:hAnsi="Arial" w:cs="Arial"/>
                <w:noProof/>
                <w:color w:val="auto"/>
                <w:kern w:val="2"/>
                <w:sz w:val="21"/>
                <w:szCs w:val="21"/>
              </w:rPr>
              <w:drawing>
                <wp:inline distT="0" distB="0" distL="0" distR="0">
                  <wp:extent cx="2469193" cy="1447800"/>
                  <wp:effectExtent l="0" t="0" r="7620" b="0"/>
                  <wp:docPr id="52" name="图片 4" descr="D:\WeChat Files\8bbe7b65ce0a50933d38927a6909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D:\WeChat Files\8bbe7b65ce0a50933d38927a6909dd5.jpg"/>
                          <pic:cNvPicPr>
                            <a:picLocks noChangeAspect="1" noChangeArrowheads="1"/>
                          </pic:cNvPicPr>
                        </pic:nvPicPr>
                        <pic:blipFill>
                          <a:blip r:embed="rId34">
                            <a:extLst>
                              <a:ext uri="{28A0092B-C50C-407E-A947-70E740481C1C}">
                                <a14:useLocalDpi xmlns:a14="http://schemas.microsoft.com/office/drawing/2010/main" val="0"/>
                              </a:ext>
                            </a:extLst>
                          </a:blip>
                          <a:srcRect t="22780" b="22780"/>
                          <a:stretch>
                            <a:fillRect/>
                          </a:stretch>
                        </pic:blipFill>
                        <pic:spPr>
                          <a:xfrm>
                            <a:off x="0" y="0"/>
                            <a:ext cx="2471068" cy="1448900"/>
                          </a:xfrm>
                          <a:prstGeom prst="rect">
                            <a:avLst/>
                          </a:prstGeom>
                          <a:noFill/>
                          <a:ln>
                            <a:noFill/>
                          </a:ln>
                        </pic:spPr>
                      </pic:pic>
                    </a:graphicData>
                  </a:graphic>
                </wp:inline>
              </w:drawing>
            </w:r>
          </w:p>
        </w:tc>
        <w:tc>
          <w:tcPr>
            <w:tcW w:w="2057" w:type="pct"/>
            <w:vAlign w:val="center"/>
          </w:tcPr>
          <w:p w:rsidR="008B4DBD" w:rsidRDefault="008B4DBD" w:rsidP="008B4DBD">
            <w:pPr>
              <w:pStyle w:val="af"/>
              <w:rPr>
                <w:rFonts w:ascii="Arial" w:eastAsia="宋体" w:hAnsi="Arial" w:cs="Arial"/>
                <w:b w:val="0"/>
                <w:color w:val="000000"/>
                <w:kern w:val="2"/>
                <w:sz w:val="21"/>
                <w:szCs w:val="21"/>
              </w:rPr>
            </w:pPr>
            <w:r>
              <w:rPr>
                <w:rFonts w:ascii="Arial" w:eastAsia="宋体" w:hAnsi="Arial" w:cs="Arial"/>
                <w:noProof/>
                <w:color w:val="auto"/>
                <w:kern w:val="2"/>
                <w:sz w:val="21"/>
                <w:szCs w:val="21"/>
              </w:rPr>
              <w:drawing>
                <wp:inline distT="0" distB="0" distL="0" distR="0">
                  <wp:extent cx="2371725" cy="1419225"/>
                  <wp:effectExtent l="0" t="0" r="0" b="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noChangeArrowheads="1"/>
                          </pic:cNvPicPr>
                        </pic:nvPicPr>
                        <pic:blipFill>
                          <a:blip r:embed="rId35">
                            <a:extLst>
                              <a:ext uri="{28A0092B-C50C-407E-A947-70E740481C1C}">
                                <a14:useLocalDpi xmlns:a14="http://schemas.microsoft.com/office/drawing/2010/main" val="0"/>
                              </a:ext>
                            </a:extLst>
                          </a:blip>
                          <a:srcRect r="4842"/>
                          <a:stretch>
                            <a:fillRect/>
                          </a:stretch>
                        </pic:blipFill>
                        <pic:spPr>
                          <a:xfrm>
                            <a:off x="0" y="0"/>
                            <a:ext cx="2371725" cy="1419225"/>
                          </a:xfrm>
                          <a:prstGeom prst="rect">
                            <a:avLst/>
                          </a:prstGeom>
                          <a:noFill/>
                          <a:ln>
                            <a:noFill/>
                          </a:ln>
                        </pic:spPr>
                      </pic:pic>
                    </a:graphicData>
                  </a:graphic>
                </wp:inline>
              </w:drawing>
            </w:r>
          </w:p>
        </w:tc>
      </w:tr>
      <w:tr w:rsidR="008B4DBD" w:rsidTr="008B4DBD">
        <w:trPr>
          <w:trHeight w:val="482"/>
          <w:jc w:val="center"/>
        </w:trPr>
        <w:tc>
          <w:tcPr>
            <w:tcW w:w="807" w:type="pct"/>
            <w:vMerge/>
            <w:vAlign w:val="center"/>
          </w:tcPr>
          <w:p w:rsidR="008B4DBD" w:rsidRDefault="008B4DBD" w:rsidP="008B4DBD">
            <w:pPr>
              <w:pStyle w:val="af"/>
              <w:rPr>
                <w:rFonts w:ascii="Arial" w:eastAsia="宋体" w:hAnsi="Arial" w:cs="Arial"/>
                <w:color w:val="000000"/>
                <w:kern w:val="2"/>
                <w:sz w:val="21"/>
                <w:szCs w:val="21"/>
              </w:rPr>
            </w:pPr>
          </w:p>
        </w:tc>
        <w:tc>
          <w:tcPr>
            <w:tcW w:w="2136" w:type="pct"/>
            <w:vAlign w:val="center"/>
          </w:tcPr>
          <w:p w:rsidR="008B4DBD" w:rsidRDefault="008B4DBD" w:rsidP="008B4DBD">
            <w:pPr>
              <w:pStyle w:val="ae"/>
              <w:ind w:leftChars="-60" w:left="-108"/>
              <w:rPr>
                <w:rFonts w:ascii="Arial" w:eastAsia="宋体" w:hAnsi="Arial" w:cs="Arial"/>
                <w:b/>
                <w:color w:val="auto"/>
                <w:kern w:val="2"/>
                <w:sz w:val="21"/>
                <w:szCs w:val="21"/>
              </w:rPr>
            </w:pPr>
            <w:r>
              <w:rPr>
                <w:rFonts w:ascii="Arial" w:eastAsia="宋体" w:hAnsi="Arial" w:cs="Arial" w:hint="eastAsia"/>
                <w:b/>
                <w:color w:val="auto"/>
                <w:kern w:val="2"/>
                <w:sz w:val="21"/>
                <w:szCs w:val="21"/>
              </w:rPr>
              <w:t>蒸汽发生</w:t>
            </w:r>
            <w:r>
              <w:rPr>
                <w:rFonts w:ascii="Arial" w:eastAsia="宋体" w:hAnsi="Arial" w:cs="Arial"/>
                <w:b/>
                <w:color w:val="auto"/>
                <w:kern w:val="2"/>
                <w:sz w:val="21"/>
                <w:szCs w:val="21"/>
              </w:rPr>
              <w:t>装置</w:t>
            </w:r>
          </w:p>
        </w:tc>
        <w:tc>
          <w:tcPr>
            <w:tcW w:w="2057" w:type="pct"/>
            <w:vAlign w:val="center"/>
          </w:tcPr>
          <w:p w:rsidR="008B4DBD" w:rsidRDefault="008B4DBD" w:rsidP="008B4DBD">
            <w:pPr>
              <w:pStyle w:val="af"/>
              <w:ind w:leftChars="-60" w:left="-108"/>
              <w:rPr>
                <w:rFonts w:ascii="Arial" w:eastAsia="宋体" w:hAnsi="Arial" w:cs="Arial"/>
                <w:color w:val="000000"/>
                <w:kern w:val="2"/>
                <w:sz w:val="21"/>
                <w:szCs w:val="21"/>
              </w:rPr>
            </w:pPr>
            <w:r>
              <w:rPr>
                <w:rFonts w:ascii="Arial" w:eastAsia="宋体" w:hAnsi="Arial" w:cs="Arial" w:hint="eastAsia"/>
                <w:color w:val="000000"/>
                <w:kern w:val="2"/>
                <w:sz w:val="21"/>
                <w:szCs w:val="21"/>
              </w:rPr>
              <w:t>钛材冷凝器</w:t>
            </w:r>
          </w:p>
        </w:tc>
      </w:tr>
      <w:tr w:rsidR="008B4DBD" w:rsidTr="008B4DBD">
        <w:trPr>
          <w:trHeight w:val="2681"/>
          <w:jc w:val="center"/>
        </w:trPr>
        <w:tc>
          <w:tcPr>
            <w:tcW w:w="807" w:type="pct"/>
            <w:vMerge w:val="restart"/>
            <w:vAlign w:val="center"/>
          </w:tcPr>
          <w:p w:rsidR="008B4DBD" w:rsidRDefault="008B4DBD" w:rsidP="008B4DBD">
            <w:pPr>
              <w:pStyle w:val="af"/>
              <w:spacing w:line="360" w:lineRule="auto"/>
              <w:rPr>
                <w:rFonts w:ascii="Arial" w:eastAsia="宋体" w:hAnsi="Arial" w:cs="Arial"/>
                <w:color w:val="000000"/>
                <w:kern w:val="2"/>
                <w:sz w:val="21"/>
                <w:szCs w:val="21"/>
              </w:rPr>
            </w:pPr>
            <w:r>
              <w:rPr>
                <w:rFonts w:ascii="Arial" w:eastAsia="宋体" w:hAnsi="Arial" w:cs="Arial"/>
                <w:color w:val="000000"/>
                <w:kern w:val="2"/>
                <w:sz w:val="21"/>
                <w:szCs w:val="21"/>
              </w:rPr>
              <w:t>海洋工程</w:t>
            </w:r>
          </w:p>
        </w:tc>
        <w:tc>
          <w:tcPr>
            <w:tcW w:w="2136" w:type="pct"/>
            <w:vAlign w:val="center"/>
          </w:tcPr>
          <w:p w:rsidR="008B4DBD" w:rsidRDefault="008B4DBD" w:rsidP="008B4DBD">
            <w:pPr>
              <w:pStyle w:val="af"/>
              <w:rPr>
                <w:rFonts w:ascii="Arial" w:eastAsia="宋体" w:hAnsi="Arial" w:cs="Arial"/>
                <w:b w:val="0"/>
                <w:color w:val="000000"/>
                <w:kern w:val="2"/>
                <w:sz w:val="21"/>
                <w:szCs w:val="21"/>
              </w:rPr>
            </w:pPr>
            <w:r>
              <w:rPr>
                <w:rFonts w:ascii="Arial" w:eastAsia="宋体" w:hAnsi="Arial" w:cs="Arial"/>
                <w:b w:val="0"/>
                <w:noProof/>
                <w:color w:val="000000"/>
                <w:kern w:val="2"/>
                <w:sz w:val="21"/>
                <w:szCs w:val="21"/>
              </w:rPr>
              <w:drawing>
                <wp:inline distT="0" distB="0" distL="0" distR="0">
                  <wp:extent cx="2438400" cy="1609725"/>
                  <wp:effectExtent l="0" t="0" r="0" b="0"/>
                  <wp:docPr id="54" name="图片 75" descr="钛管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5" descr="钛管道.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438400" cy="1609725"/>
                          </a:xfrm>
                          <a:prstGeom prst="rect">
                            <a:avLst/>
                          </a:prstGeom>
                          <a:noFill/>
                          <a:ln>
                            <a:noFill/>
                          </a:ln>
                        </pic:spPr>
                      </pic:pic>
                    </a:graphicData>
                  </a:graphic>
                </wp:inline>
              </w:drawing>
            </w:r>
          </w:p>
        </w:tc>
        <w:tc>
          <w:tcPr>
            <w:tcW w:w="2057" w:type="pct"/>
            <w:vAlign w:val="center"/>
          </w:tcPr>
          <w:p w:rsidR="008B4DBD" w:rsidRDefault="008B4DBD" w:rsidP="008B4DBD">
            <w:pPr>
              <w:pStyle w:val="af"/>
              <w:jc w:val="left"/>
              <w:rPr>
                <w:rFonts w:ascii="Arial" w:eastAsia="宋体" w:hAnsi="Arial" w:cs="Arial"/>
                <w:b w:val="0"/>
                <w:color w:val="000000"/>
                <w:kern w:val="2"/>
                <w:sz w:val="21"/>
                <w:szCs w:val="21"/>
              </w:rPr>
            </w:pPr>
            <w:r>
              <w:rPr>
                <w:rFonts w:ascii="Arial" w:eastAsia="宋体" w:hAnsi="Arial" w:cs="Arial"/>
                <w:b w:val="0"/>
                <w:noProof/>
                <w:color w:val="000000"/>
                <w:kern w:val="2"/>
                <w:sz w:val="21"/>
                <w:szCs w:val="21"/>
              </w:rPr>
              <w:drawing>
                <wp:inline distT="0" distB="0" distL="0" distR="0">
                  <wp:extent cx="2482850" cy="1619672"/>
                  <wp:effectExtent l="0" t="0" r="0" b="0"/>
                  <wp:docPr id="55" name="图片 1" descr="C:\赵洁的电脑\合同\在手合同\20-F-006 （2101-076）-宝钛MODEC巴西浮式平台储油船用管道 （9053599元）\发货\微信图片_2021102113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赵洁的电脑\合同\在手合同\20-F-006 （2101-076）-宝钛MODEC巴西浮式平台储油船用管道 （9053599元）\发货\微信图片_20211021133654.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0412" t="13605"/>
                          <a:stretch/>
                        </pic:blipFill>
                        <pic:spPr bwMode="auto">
                          <a:xfrm>
                            <a:off x="0" y="0"/>
                            <a:ext cx="2484486" cy="16207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4DBD" w:rsidTr="008B4DBD">
        <w:trPr>
          <w:trHeight w:val="397"/>
          <w:jc w:val="center"/>
        </w:trPr>
        <w:tc>
          <w:tcPr>
            <w:tcW w:w="807" w:type="pct"/>
            <w:vMerge/>
            <w:vAlign w:val="center"/>
          </w:tcPr>
          <w:p w:rsidR="008B4DBD" w:rsidRDefault="008B4DBD" w:rsidP="008B4DBD">
            <w:pPr>
              <w:pStyle w:val="af"/>
              <w:rPr>
                <w:rFonts w:ascii="Arial" w:eastAsia="宋体" w:hAnsi="Arial" w:cs="Arial"/>
                <w:color w:val="000000"/>
                <w:kern w:val="2"/>
                <w:sz w:val="21"/>
                <w:szCs w:val="21"/>
              </w:rPr>
            </w:pPr>
          </w:p>
        </w:tc>
        <w:tc>
          <w:tcPr>
            <w:tcW w:w="2136" w:type="pct"/>
            <w:vAlign w:val="center"/>
          </w:tcPr>
          <w:p w:rsidR="008B4DBD" w:rsidRDefault="008B4DBD" w:rsidP="008B4DBD">
            <w:pPr>
              <w:pStyle w:val="af"/>
              <w:rPr>
                <w:rFonts w:ascii="Arial" w:eastAsia="宋体" w:hAnsi="Arial" w:cs="Arial"/>
                <w:color w:val="000000"/>
                <w:kern w:val="2"/>
                <w:sz w:val="21"/>
                <w:szCs w:val="21"/>
              </w:rPr>
            </w:pPr>
            <w:r>
              <w:rPr>
                <w:rFonts w:ascii="Arial" w:eastAsia="宋体" w:hAnsi="Arial" w:cs="Arial" w:hint="eastAsia"/>
                <w:color w:val="000000"/>
                <w:kern w:val="2"/>
                <w:sz w:val="21"/>
                <w:szCs w:val="21"/>
              </w:rPr>
              <w:t>钛管道</w:t>
            </w:r>
          </w:p>
        </w:tc>
        <w:tc>
          <w:tcPr>
            <w:tcW w:w="2057" w:type="pct"/>
            <w:vAlign w:val="center"/>
          </w:tcPr>
          <w:p w:rsidR="008B4DBD" w:rsidRDefault="008B4DBD" w:rsidP="008B4DBD">
            <w:pPr>
              <w:pStyle w:val="af"/>
              <w:rPr>
                <w:rFonts w:ascii="Arial" w:eastAsia="宋体" w:hAnsi="Arial" w:cs="Arial"/>
                <w:color w:val="000000"/>
                <w:kern w:val="2"/>
                <w:sz w:val="21"/>
                <w:szCs w:val="21"/>
              </w:rPr>
            </w:pPr>
            <w:r>
              <w:rPr>
                <w:rFonts w:ascii="Arial" w:eastAsia="宋体" w:hAnsi="Arial" w:cs="Arial"/>
                <w:color w:val="000000"/>
                <w:kern w:val="2"/>
                <w:sz w:val="21"/>
                <w:szCs w:val="21"/>
              </w:rPr>
              <w:t>钛管道</w:t>
            </w:r>
          </w:p>
        </w:tc>
      </w:tr>
      <w:tr w:rsidR="008B4DBD" w:rsidTr="008B4DBD">
        <w:trPr>
          <w:trHeight w:val="2794"/>
          <w:jc w:val="center"/>
        </w:trPr>
        <w:tc>
          <w:tcPr>
            <w:tcW w:w="807" w:type="pct"/>
            <w:vMerge w:val="restart"/>
            <w:vAlign w:val="center"/>
          </w:tcPr>
          <w:p w:rsidR="008B4DBD" w:rsidRDefault="008B4DBD" w:rsidP="008B4DBD">
            <w:pPr>
              <w:pStyle w:val="af"/>
              <w:rPr>
                <w:rFonts w:ascii="Arial" w:eastAsia="宋体" w:hAnsi="Arial" w:cs="Arial"/>
                <w:color w:val="000000"/>
                <w:kern w:val="2"/>
                <w:sz w:val="21"/>
                <w:szCs w:val="21"/>
              </w:rPr>
            </w:pPr>
            <w:r>
              <w:rPr>
                <w:rFonts w:ascii="Arial" w:eastAsia="宋体" w:hAnsi="Arial" w:cs="Arial" w:hint="eastAsia"/>
                <w:color w:val="000000"/>
                <w:kern w:val="2"/>
                <w:sz w:val="21"/>
                <w:szCs w:val="21"/>
              </w:rPr>
              <w:t>绿色环保</w:t>
            </w:r>
          </w:p>
        </w:tc>
        <w:tc>
          <w:tcPr>
            <w:tcW w:w="2136" w:type="pct"/>
            <w:vAlign w:val="center"/>
          </w:tcPr>
          <w:p w:rsidR="008B4DBD" w:rsidRDefault="008B4DBD" w:rsidP="008B4DBD">
            <w:pPr>
              <w:pStyle w:val="af"/>
              <w:rPr>
                <w:rFonts w:ascii="Arial" w:eastAsia="宋体" w:hAnsi="Arial" w:cs="Arial"/>
                <w:b w:val="0"/>
                <w:color w:val="000000"/>
                <w:kern w:val="2"/>
                <w:sz w:val="21"/>
                <w:szCs w:val="21"/>
              </w:rPr>
            </w:pPr>
            <w:r>
              <w:rPr>
                <w:rFonts w:ascii="Arial" w:eastAsia="宋体" w:hAnsi="Arial" w:cs="Arial"/>
                <w:b w:val="0"/>
                <w:noProof/>
                <w:color w:val="000000"/>
                <w:kern w:val="2"/>
                <w:sz w:val="21"/>
                <w:szCs w:val="21"/>
              </w:rPr>
              <w:drawing>
                <wp:inline distT="0" distB="0" distL="0" distR="0">
                  <wp:extent cx="2291751" cy="1732199"/>
                  <wp:effectExtent l="0" t="0" r="0" b="190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污水处理撬装模块.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8430" cy="1744806"/>
                          </a:xfrm>
                          <a:prstGeom prst="rect">
                            <a:avLst/>
                          </a:prstGeom>
                        </pic:spPr>
                      </pic:pic>
                    </a:graphicData>
                  </a:graphic>
                </wp:inline>
              </w:drawing>
            </w:r>
          </w:p>
        </w:tc>
        <w:tc>
          <w:tcPr>
            <w:tcW w:w="2057" w:type="pct"/>
            <w:vAlign w:val="center"/>
          </w:tcPr>
          <w:p w:rsidR="008B4DBD" w:rsidRDefault="008B4DBD" w:rsidP="008B4DBD">
            <w:pPr>
              <w:pStyle w:val="af"/>
              <w:ind w:leftChars="-51" w:left="-92"/>
              <w:rPr>
                <w:rFonts w:ascii="Arial" w:eastAsia="宋体" w:hAnsi="Arial" w:cs="Arial"/>
                <w:b w:val="0"/>
                <w:color w:val="000000"/>
                <w:kern w:val="2"/>
                <w:sz w:val="21"/>
                <w:szCs w:val="21"/>
              </w:rPr>
            </w:pPr>
            <w:r>
              <w:rPr>
                <w:noProof/>
              </w:rPr>
              <w:drawing>
                <wp:inline distT="0" distB="0" distL="0" distR="0">
                  <wp:extent cx="2498795" cy="1397479"/>
                  <wp:effectExtent l="0" t="0" r="0" b="0"/>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noChangeArrowheads="1"/>
                          </pic:cNvPicPr>
                        </pic:nvPicPr>
                        <pic:blipFill rotWithShape="1">
                          <a:blip r:embed="rId39">
                            <a:extLst>
                              <a:ext uri="{28A0092B-C50C-407E-A947-70E740481C1C}">
                                <a14:useLocalDpi xmlns:a14="http://schemas.microsoft.com/office/drawing/2010/main" val="0"/>
                              </a:ext>
                            </a:extLst>
                          </a:blip>
                          <a:srcRect r="14364"/>
                          <a:stretch/>
                        </pic:blipFill>
                        <pic:spPr bwMode="auto">
                          <a:xfrm>
                            <a:off x="0" y="0"/>
                            <a:ext cx="2505937" cy="14014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4DBD" w:rsidTr="008B4DBD">
        <w:trPr>
          <w:trHeight w:val="397"/>
          <w:jc w:val="center"/>
        </w:trPr>
        <w:tc>
          <w:tcPr>
            <w:tcW w:w="807" w:type="pct"/>
            <w:vMerge/>
            <w:vAlign w:val="center"/>
          </w:tcPr>
          <w:p w:rsidR="008B4DBD" w:rsidRDefault="008B4DBD" w:rsidP="008B4DBD">
            <w:pPr>
              <w:pStyle w:val="af"/>
              <w:rPr>
                <w:rFonts w:ascii="Arial" w:eastAsia="宋体" w:hAnsi="Arial" w:cs="Arial"/>
                <w:color w:val="000000"/>
                <w:kern w:val="2"/>
                <w:sz w:val="21"/>
                <w:szCs w:val="21"/>
              </w:rPr>
            </w:pPr>
          </w:p>
        </w:tc>
        <w:tc>
          <w:tcPr>
            <w:tcW w:w="2136" w:type="pct"/>
            <w:vAlign w:val="center"/>
          </w:tcPr>
          <w:p w:rsidR="008B4DBD" w:rsidRDefault="008B4DBD" w:rsidP="008B4DBD">
            <w:pPr>
              <w:pStyle w:val="af"/>
              <w:rPr>
                <w:rFonts w:ascii="Arial" w:eastAsia="宋体" w:hAnsi="Arial" w:cs="Arial"/>
                <w:color w:val="000000"/>
                <w:kern w:val="2"/>
                <w:sz w:val="21"/>
                <w:szCs w:val="21"/>
              </w:rPr>
            </w:pPr>
            <w:r>
              <w:rPr>
                <w:rFonts w:ascii="Arial" w:eastAsia="宋体" w:hAnsi="Arial" w:cs="Arial"/>
                <w:color w:val="000000"/>
                <w:kern w:val="2"/>
                <w:sz w:val="21"/>
                <w:szCs w:val="21"/>
              </w:rPr>
              <w:t>污水处理撬装模块</w:t>
            </w:r>
          </w:p>
        </w:tc>
        <w:tc>
          <w:tcPr>
            <w:tcW w:w="2057" w:type="pct"/>
            <w:vAlign w:val="center"/>
          </w:tcPr>
          <w:p w:rsidR="008B4DBD" w:rsidRDefault="008B4DBD" w:rsidP="008B4DBD">
            <w:pPr>
              <w:pStyle w:val="af"/>
              <w:rPr>
                <w:rFonts w:ascii="Arial" w:eastAsia="宋体" w:hAnsi="Arial" w:cs="Arial"/>
                <w:color w:val="000000"/>
                <w:kern w:val="2"/>
                <w:sz w:val="21"/>
                <w:szCs w:val="21"/>
              </w:rPr>
            </w:pPr>
            <w:r>
              <w:rPr>
                <w:rFonts w:ascii="Times New Roman" w:eastAsia="宋体" w:hAnsi="Times New Roman" w:hint="eastAsia"/>
                <w:color w:val="000000"/>
                <w:kern w:val="2"/>
                <w:sz w:val="21"/>
                <w:szCs w:val="21"/>
              </w:rPr>
              <w:t>工业</w:t>
            </w:r>
            <w:r>
              <w:rPr>
                <w:rFonts w:ascii="Times New Roman" w:eastAsia="宋体" w:hAnsi="Times New Roman"/>
                <w:color w:val="000000"/>
                <w:kern w:val="2"/>
                <w:sz w:val="21"/>
                <w:szCs w:val="21"/>
              </w:rPr>
              <w:t>废水</w:t>
            </w:r>
            <w:r>
              <w:rPr>
                <w:rFonts w:ascii="Arial" w:eastAsia="宋体" w:hAnsi="Arial" w:cs="Arial" w:hint="eastAsia"/>
                <w:color w:val="000000"/>
                <w:kern w:val="2"/>
                <w:sz w:val="21"/>
                <w:szCs w:val="21"/>
              </w:rPr>
              <w:t>处理换热器</w:t>
            </w:r>
          </w:p>
        </w:tc>
      </w:tr>
      <w:tr w:rsidR="008B4DBD" w:rsidTr="008B4DBD">
        <w:trPr>
          <w:trHeight w:val="2582"/>
          <w:jc w:val="center"/>
        </w:trPr>
        <w:tc>
          <w:tcPr>
            <w:tcW w:w="807" w:type="pct"/>
            <w:vMerge w:val="restart"/>
            <w:vAlign w:val="center"/>
          </w:tcPr>
          <w:p w:rsidR="008B4DBD" w:rsidRDefault="008B4DBD" w:rsidP="008B4DBD">
            <w:pPr>
              <w:pStyle w:val="af"/>
              <w:rPr>
                <w:rFonts w:ascii="Arial" w:eastAsia="宋体" w:hAnsi="Arial" w:cs="Arial"/>
                <w:color w:val="000000"/>
                <w:kern w:val="2"/>
                <w:sz w:val="21"/>
                <w:szCs w:val="21"/>
              </w:rPr>
            </w:pPr>
            <w:r>
              <w:rPr>
                <w:rFonts w:ascii="Arial" w:eastAsia="宋体" w:hAnsi="Arial" w:cs="Arial" w:hint="eastAsia"/>
                <w:color w:val="000000"/>
                <w:kern w:val="2"/>
                <w:sz w:val="21"/>
                <w:szCs w:val="21"/>
              </w:rPr>
              <w:t>航空航天</w:t>
            </w:r>
          </w:p>
          <w:p w:rsidR="008B4DBD" w:rsidRDefault="008B4DBD" w:rsidP="008B4DBD">
            <w:pPr>
              <w:pStyle w:val="af"/>
              <w:rPr>
                <w:rFonts w:ascii="Arial" w:eastAsia="宋体" w:hAnsi="Arial" w:cs="Arial"/>
                <w:color w:val="000000"/>
                <w:kern w:val="2"/>
                <w:sz w:val="21"/>
                <w:szCs w:val="21"/>
              </w:rPr>
            </w:pPr>
            <w:r>
              <w:rPr>
                <w:rFonts w:ascii="Arial" w:eastAsia="宋体" w:hAnsi="Arial" w:cs="Arial"/>
                <w:color w:val="000000"/>
                <w:kern w:val="2"/>
                <w:sz w:val="21"/>
                <w:szCs w:val="21"/>
              </w:rPr>
              <w:t>相关</w:t>
            </w:r>
            <w:r>
              <w:rPr>
                <w:rFonts w:ascii="Arial" w:eastAsia="宋体" w:hAnsi="Arial" w:cs="Arial" w:hint="eastAsia"/>
                <w:color w:val="000000"/>
                <w:kern w:val="2"/>
                <w:sz w:val="21"/>
                <w:szCs w:val="21"/>
              </w:rPr>
              <w:t>配套</w:t>
            </w:r>
          </w:p>
          <w:p w:rsidR="008B4DBD" w:rsidRDefault="008B4DBD" w:rsidP="008B4DBD">
            <w:pPr>
              <w:pStyle w:val="af"/>
              <w:rPr>
                <w:rFonts w:ascii="Arial" w:eastAsia="宋体" w:hAnsi="Arial" w:cs="Arial"/>
                <w:color w:val="000000"/>
                <w:kern w:val="2"/>
                <w:sz w:val="21"/>
                <w:szCs w:val="21"/>
              </w:rPr>
            </w:pPr>
            <w:r>
              <w:rPr>
                <w:rFonts w:ascii="Arial" w:eastAsia="宋体" w:hAnsi="Arial" w:cs="Arial"/>
                <w:color w:val="000000"/>
                <w:kern w:val="2"/>
                <w:sz w:val="21"/>
                <w:szCs w:val="21"/>
              </w:rPr>
              <w:t>领域</w:t>
            </w:r>
          </w:p>
        </w:tc>
        <w:tc>
          <w:tcPr>
            <w:tcW w:w="2136" w:type="pct"/>
            <w:vAlign w:val="center"/>
          </w:tcPr>
          <w:p w:rsidR="008B4DBD" w:rsidRDefault="008B4DBD" w:rsidP="008B4DBD">
            <w:pPr>
              <w:pStyle w:val="af"/>
              <w:rPr>
                <w:rFonts w:ascii="Arial" w:eastAsia="宋体" w:hAnsi="Arial" w:cs="Arial"/>
                <w:color w:val="000000"/>
                <w:kern w:val="2"/>
                <w:sz w:val="21"/>
                <w:szCs w:val="21"/>
              </w:rPr>
            </w:pPr>
            <w:r>
              <w:rPr>
                <w:rFonts w:ascii="宋体" w:hAnsi="宋体"/>
                <w:b w:val="0"/>
                <w:noProof/>
                <w:color w:val="000000"/>
              </w:rPr>
              <w:drawing>
                <wp:inline distT="0" distB="0" distL="0" distR="0">
                  <wp:extent cx="2286000" cy="1609725"/>
                  <wp:effectExtent l="0" t="0" r="0" b="0"/>
                  <wp:docPr id="58" name="图片 22" descr="932a83731c9b0cc0bc08700cf0415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descr="932a83731c9b0cc0bc08700cf0415db"/>
                          <pic:cNvPicPr>
                            <a:picLocks noChangeAspect="1" noChangeArrowheads="1"/>
                          </pic:cNvPicPr>
                        </pic:nvPicPr>
                        <pic:blipFill>
                          <a:blip r:embed="rId40" cstate="print">
                            <a:extLst>
                              <a:ext uri="{28A0092B-C50C-407E-A947-70E740481C1C}">
                                <a14:useLocalDpi xmlns:a14="http://schemas.microsoft.com/office/drawing/2010/main" val="0"/>
                              </a:ext>
                            </a:extLst>
                          </a:blip>
                          <a:srcRect t="5797"/>
                          <a:stretch>
                            <a:fillRect/>
                          </a:stretch>
                        </pic:blipFill>
                        <pic:spPr>
                          <a:xfrm>
                            <a:off x="0" y="0"/>
                            <a:ext cx="2286000" cy="1609725"/>
                          </a:xfrm>
                          <a:prstGeom prst="rect">
                            <a:avLst/>
                          </a:prstGeom>
                          <a:noFill/>
                          <a:ln>
                            <a:noFill/>
                          </a:ln>
                        </pic:spPr>
                      </pic:pic>
                    </a:graphicData>
                  </a:graphic>
                </wp:inline>
              </w:drawing>
            </w:r>
          </w:p>
        </w:tc>
        <w:tc>
          <w:tcPr>
            <w:tcW w:w="2057" w:type="pct"/>
            <w:vAlign w:val="center"/>
          </w:tcPr>
          <w:p w:rsidR="008B4DBD" w:rsidRDefault="008B4DBD" w:rsidP="008B4DBD">
            <w:pPr>
              <w:pStyle w:val="af"/>
              <w:rPr>
                <w:rFonts w:ascii="Arial" w:eastAsia="宋体" w:hAnsi="Arial" w:cs="Arial"/>
                <w:color w:val="000000"/>
                <w:kern w:val="2"/>
                <w:sz w:val="21"/>
                <w:szCs w:val="21"/>
              </w:rPr>
            </w:pPr>
            <w:r>
              <w:rPr>
                <w:rFonts w:ascii="宋体" w:hAnsi="宋体"/>
                <w:b w:val="0"/>
                <w:noProof/>
                <w:color w:val="000000"/>
              </w:rPr>
              <w:drawing>
                <wp:inline distT="0" distB="0" distL="0" distR="0">
                  <wp:extent cx="2381250" cy="1600200"/>
                  <wp:effectExtent l="0" t="0" r="0" b="0"/>
                  <wp:docPr id="59" name="图片 23" descr="00a68052eaeab9afbca046f2bf1c2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descr="00a68052eaeab9afbca046f2bf1c2ab"/>
                          <pic:cNvPicPr>
                            <a:picLocks noChangeAspect="1" noChangeArrowheads="1"/>
                          </pic:cNvPicPr>
                        </pic:nvPicPr>
                        <pic:blipFill>
                          <a:blip r:embed="rId41" cstate="print">
                            <a:extLst>
                              <a:ext uri="{28A0092B-C50C-407E-A947-70E740481C1C}">
                                <a14:useLocalDpi xmlns:a14="http://schemas.microsoft.com/office/drawing/2010/main" val="0"/>
                              </a:ext>
                            </a:extLst>
                          </a:blip>
                          <a:srcRect l="381" t="3706" b="7143"/>
                          <a:stretch>
                            <a:fillRect/>
                          </a:stretch>
                        </pic:blipFill>
                        <pic:spPr>
                          <a:xfrm>
                            <a:off x="0" y="0"/>
                            <a:ext cx="2381250" cy="1600200"/>
                          </a:xfrm>
                          <a:prstGeom prst="rect">
                            <a:avLst/>
                          </a:prstGeom>
                          <a:noFill/>
                          <a:ln>
                            <a:noFill/>
                          </a:ln>
                        </pic:spPr>
                      </pic:pic>
                    </a:graphicData>
                  </a:graphic>
                </wp:inline>
              </w:drawing>
            </w:r>
          </w:p>
        </w:tc>
      </w:tr>
      <w:tr w:rsidR="008B4DBD" w:rsidTr="008B4DBD">
        <w:trPr>
          <w:trHeight w:val="397"/>
          <w:jc w:val="center"/>
        </w:trPr>
        <w:tc>
          <w:tcPr>
            <w:tcW w:w="807" w:type="pct"/>
            <w:vMerge/>
            <w:vAlign w:val="center"/>
          </w:tcPr>
          <w:p w:rsidR="008B4DBD" w:rsidRDefault="008B4DBD" w:rsidP="008B4DBD">
            <w:pPr>
              <w:pStyle w:val="af"/>
              <w:rPr>
                <w:rFonts w:ascii="Arial" w:eastAsia="宋体" w:hAnsi="Arial" w:cs="Arial"/>
                <w:b w:val="0"/>
                <w:color w:val="000000"/>
                <w:kern w:val="2"/>
                <w:sz w:val="21"/>
                <w:szCs w:val="21"/>
              </w:rPr>
            </w:pPr>
          </w:p>
        </w:tc>
        <w:tc>
          <w:tcPr>
            <w:tcW w:w="2136" w:type="pct"/>
            <w:vAlign w:val="center"/>
          </w:tcPr>
          <w:p w:rsidR="008B4DBD" w:rsidRDefault="008B4DBD" w:rsidP="00FF795F">
            <w:pPr>
              <w:pStyle w:val="af"/>
              <w:rPr>
                <w:rFonts w:ascii="宋体" w:hAnsi="宋体"/>
                <w:b w:val="0"/>
                <w:color w:val="000000"/>
              </w:rPr>
            </w:pPr>
            <w:r w:rsidRPr="00FF795F">
              <w:rPr>
                <w:rFonts w:ascii="Arial" w:eastAsia="宋体" w:hAnsi="Arial" w:cs="Arial" w:hint="eastAsia"/>
                <w:color w:val="000000"/>
                <w:kern w:val="2"/>
                <w:sz w:val="21"/>
                <w:szCs w:val="21"/>
              </w:rPr>
              <w:t>高温镍基</w:t>
            </w:r>
            <w:r w:rsidRPr="00FF795F">
              <w:rPr>
                <w:rFonts w:ascii="Arial" w:eastAsia="宋体" w:hAnsi="Arial" w:cs="Arial"/>
                <w:color w:val="000000"/>
                <w:kern w:val="2"/>
                <w:sz w:val="21"/>
                <w:szCs w:val="21"/>
              </w:rPr>
              <w:t>合金</w:t>
            </w:r>
            <w:r w:rsidRPr="00FF795F">
              <w:rPr>
                <w:rFonts w:ascii="Arial" w:eastAsia="宋体" w:hAnsi="Arial" w:cs="Arial" w:hint="eastAsia"/>
                <w:color w:val="000000"/>
                <w:kern w:val="2"/>
                <w:sz w:val="21"/>
                <w:szCs w:val="21"/>
              </w:rPr>
              <w:t>喷淋段</w:t>
            </w:r>
          </w:p>
        </w:tc>
        <w:tc>
          <w:tcPr>
            <w:tcW w:w="2057" w:type="pct"/>
            <w:vAlign w:val="center"/>
          </w:tcPr>
          <w:p w:rsidR="008B4DBD" w:rsidRDefault="008B4DBD" w:rsidP="00FF795F">
            <w:pPr>
              <w:pStyle w:val="af"/>
              <w:rPr>
                <w:rFonts w:ascii="宋体" w:hAnsi="宋体"/>
                <w:b w:val="0"/>
                <w:color w:val="000000"/>
              </w:rPr>
            </w:pPr>
            <w:r w:rsidRPr="00FF795F">
              <w:rPr>
                <w:rFonts w:ascii="Arial" w:eastAsia="宋体" w:hAnsi="Arial" w:cs="Arial" w:hint="eastAsia"/>
                <w:color w:val="000000"/>
                <w:kern w:val="2"/>
                <w:sz w:val="21"/>
                <w:szCs w:val="21"/>
              </w:rPr>
              <w:t>高温镍基</w:t>
            </w:r>
            <w:r w:rsidRPr="00FF795F">
              <w:rPr>
                <w:rFonts w:ascii="Arial" w:eastAsia="宋体" w:hAnsi="Arial" w:cs="Arial"/>
                <w:color w:val="000000"/>
                <w:kern w:val="2"/>
                <w:sz w:val="21"/>
                <w:szCs w:val="21"/>
              </w:rPr>
              <w:t>合金</w:t>
            </w:r>
            <w:r w:rsidRPr="00FF795F">
              <w:rPr>
                <w:rFonts w:ascii="Arial" w:eastAsia="宋体" w:hAnsi="Arial" w:cs="Arial" w:hint="eastAsia"/>
                <w:color w:val="000000"/>
                <w:kern w:val="2"/>
                <w:sz w:val="21"/>
                <w:szCs w:val="21"/>
              </w:rPr>
              <w:t>主气管道</w:t>
            </w:r>
          </w:p>
        </w:tc>
      </w:tr>
    </w:tbl>
    <w:p w:rsidR="00CC3C98" w:rsidRPr="00090FC7" w:rsidRDefault="00CC3C98" w:rsidP="004A1785">
      <w:pPr>
        <w:autoSpaceDE w:val="0"/>
        <w:autoSpaceDN w:val="0"/>
        <w:adjustRightInd w:val="0"/>
        <w:spacing w:before="120" w:line="360" w:lineRule="auto"/>
        <w:ind w:firstLine="420"/>
        <w:rPr>
          <w:rFonts w:ascii="Arial" w:hAnsi="Arial" w:cs="Arial"/>
          <w:b/>
          <w:bCs/>
          <w:kern w:val="0"/>
          <w:sz w:val="21"/>
          <w:szCs w:val="21"/>
          <w:lang w:val="zh-CN"/>
        </w:rPr>
      </w:pPr>
      <w:r>
        <w:rPr>
          <w:rFonts w:ascii="Arial" w:hAnsi="Arial" w:cs="Arial" w:hint="eastAsia"/>
          <w:b/>
          <w:bCs/>
          <w:kern w:val="0"/>
          <w:sz w:val="21"/>
          <w:szCs w:val="21"/>
          <w:lang w:val="zh-CN"/>
        </w:rPr>
        <w:t>（</w:t>
      </w:r>
      <w:r w:rsidR="00F044FA">
        <w:rPr>
          <w:rFonts w:ascii="Arial" w:hAnsi="Arial" w:cs="Arial" w:hint="eastAsia"/>
          <w:b/>
          <w:bCs/>
          <w:kern w:val="0"/>
          <w:sz w:val="21"/>
          <w:szCs w:val="21"/>
          <w:lang w:val="zh-CN"/>
        </w:rPr>
        <w:t>2</w:t>
      </w:r>
      <w:r>
        <w:rPr>
          <w:rFonts w:ascii="Arial" w:hAnsi="Arial" w:cs="Arial" w:hint="eastAsia"/>
          <w:b/>
          <w:bCs/>
          <w:kern w:val="0"/>
          <w:sz w:val="21"/>
          <w:szCs w:val="21"/>
          <w:lang w:val="zh-CN"/>
        </w:rPr>
        <w:t>）报告期内公司所处行业发展变化、市场竞争格局及公司行业地位等</w:t>
      </w:r>
    </w:p>
    <w:p w:rsidR="00CC3C98" w:rsidRPr="00CC3C98" w:rsidRDefault="00CC3C98" w:rsidP="00CC3C98">
      <w:pPr>
        <w:autoSpaceDE w:val="0"/>
        <w:autoSpaceDN w:val="0"/>
        <w:adjustRightInd w:val="0"/>
        <w:spacing w:line="360" w:lineRule="auto"/>
        <w:ind w:firstLine="422"/>
        <w:rPr>
          <w:rFonts w:ascii="Arial" w:hAnsi="Arial" w:cs="Arial"/>
          <w:b/>
          <w:bCs/>
          <w:kern w:val="0"/>
          <w:sz w:val="21"/>
          <w:szCs w:val="21"/>
          <w:lang w:val="zh-CN"/>
        </w:rPr>
      </w:pPr>
      <w:r w:rsidRPr="00CC3C98">
        <w:rPr>
          <w:rFonts w:ascii="Arial" w:hAnsi="Arial" w:cs="Arial" w:hint="eastAsia"/>
          <w:b/>
          <w:bCs/>
          <w:kern w:val="0"/>
          <w:sz w:val="21"/>
          <w:szCs w:val="21"/>
          <w:lang w:val="zh-CN"/>
        </w:rPr>
        <w:t>1</w:t>
      </w:r>
      <w:r w:rsidR="00F044FA">
        <w:rPr>
          <w:rFonts w:ascii="Arial" w:hAnsi="Arial" w:cs="Arial" w:hint="eastAsia"/>
          <w:b/>
          <w:bCs/>
          <w:kern w:val="0"/>
          <w:sz w:val="21"/>
          <w:szCs w:val="21"/>
          <w:lang w:val="zh-CN"/>
        </w:rPr>
        <w:t>）</w:t>
      </w:r>
      <w:r>
        <w:rPr>
          <w:rFonts w:ascii="Arial" w:hAnsi="Arial" w:cs="Arial" w:hint="eastAsia"/>
          <w:b/>
          <w:bCs/>
          <w:kern w:val="0"/>
          <w:sz w:val="21"/>
          <w:szCs w:val="21"/>
          <w:lang w:val="zh-CN"/>
        </w:rPr>
        <w:t>行业发展情况</w:t>
      </w:r>
    </w:p>
    <w:p w:rsidR="008B4DBD" w:rsidRPr="008B4DBD" w:rsidRDefault="008B4DBD" w:rsidP="00E06F28">
      <w:pPr>
        <w:autoSpaceDE w:val="0"/>
        <w:autoSpaceDN w:val="0"/>
        <w:adjustRightInd w:val="0"/>
        <w:spacing w:beforeLines="25" w:before="78" w:after="0" w:line="324" w:lineRule="auto"/>
        <w:ind w:firstLineChars="200" w:firstLine="420"/>
        <w:rPr>
          <w:rFonts w:ascii="Arial" w:eastAsiaTheme="minorEastAsia" w:hAnsi="Arial" w:cs="Arial"/>
          <w:sz w:val="21"/>
          <w:szCs w:val="21"/>
          <w:lang w:val="zh-CN"/>
        </w:rPr>
      </w:pPr>
      <w:bookmarkStart w:id="2" w:name="OLE_LINK2"/>
      <w:bookmarkEnd w:id="2"/>
      <w:r w:rsidRPr="008B4DBD">
        <w:rPr>
          <w:rFonts w:ascii="Arial" w:eastAsiaTheme="minorEastAsia" w:hAnsiTheme="minorEastAsia" w:cs="Arial"/>
          <w:sz w:val="21"/>
          <w:szCs w:val="21"/>
          <w:lang w:val="zh-CN"/>
        </w:rPr>
        <w:t>公司所处行业大类为装备制造业，隶属于特材非标装备制造业细分领域，主要指特材非标压力容器及与之相配套的特材管道、管件等的研发与制造，是新材料业与先进制造业紧密结合形成的新兴行业，属于国家高端装备制造业的重要细分领域，具有产业关联度高、带动能力强和技术含量高等特点。行业产品广泛应用于石油化工、能源、冶金、电力、环保、航空航天、海洋工程等国民经济支柱产业，以及军工国防建设领域，是这些行业生产过程中不可或缺的核心关键设备。行业技术和产品的持续升级，为国家上述行业的发展奠定了坚实基础。</w:t>
      </w:r>
    </w:p>
    <w:p w:rsidR="008B4DBD" w:rsidRPr="008B4DBD" w:rsidRDefault="008B4DBD" w:rsidP="00E06F28">
      <w:pPr>
        <w:autoSpaceDE w:val="0"/>
        <w:autoSpaceDN w:val="0"/>
        <w:adjustRightInd w:val="0"/>
        <w:spacing w:beforeLines="25" w:before="78" w:after="0" w:line="324" w:lineRule="auto"/>
        <w:ind w:firstLineChars="200" w:firstLine="420"/>
        <w:rPr>
          <w:rFonts w:ascii="Arial" w:eastAsiaTheme="minorEastAsia" w:hAnsi="Arial" w:cs="Arial"/>
          <w:sz w:val="21"/>
          <w:szCs w:val="21"/>
          <w:lang w:val="zh-CN"/>
        </w:rPr>
      </w:pPr>
      <w:r w:rsidRPr="008B4DBD">
        <w:rPr>
          <w:rFonts w:ascii="Arial" w:eastAsiaTheme="minorEastAsia" w:hAnsiTheme="minorEastAsia" w:cs="Arial"/>
          <w:sz w:val="21"/>
          <w:szCs w:val="21"/>
          <w:lang w:val="zh-CN"/>
        </w:rPr>
        <w:t>经过多年的发展，我国特材非标压力容器行业在技术水平、产业规模和应用领域等方面均取得了显著成就。在技术水平上，我国已经接近国际先进水平。大部分大型、重型特材压力容器已实现国产化，摆脱了对进口的依赖；对于部分技术难度高、制造工艺复杂的关键高端核心设备，我国也掌握自主知识产权，成功实现国产化，部分产品更是达到国际领先水平并进入国际市场。在产业规模方面，我国已成为世界上特材非标压力容器制造大国，产业规模持续扩大，涵盖了从原材料供应、零部件制造到整机组装的完整产业链，能够满足国内外市场的多样化需求。在应用领域上，除了传统的石油、化工、电力等行业，特材非标压力容器在新能源、环保、舰船及海洋工程、航空航天、生物医药等新兴领域的应用日益广泛。</w:t>
      </w:r>
    </w:p>
    <w:p w:rsidR="008B4DBD" w:rsidRPr="008B4DBD" w:rsidRDefault="008B4DBD" w:rsidP="00E06F28">
      <w:pPr>
        <w:autoSpaceDE w:val="0"/>
        <w:autoSpaceDN w:val="0"/>
        <w:adjustRightInd w:val="0"/>
        <w:spacing w:beforeLines="25" w:before="78" w:after="0" w:line="324" w:lineRule="auto"/>
        <w:ind w:firstLineChars="200" w:firstLine="420"/>
        <w:rPr>
          <w:rFonts w:ascii="Arial" w:eastAsiaTheme="minorEastAsia" w:hAnsi="Arial" w:cs="Arial"/>
          <w:sz w:val="21"/>
          <w:szCs w:val="21"/>
          <w:lang w:val="zh-CN"/>
        </w:rPr>
      </w:pPr>
      <w:r w:rsidRPr="008B4DBD">
        <w:rPr>
          <w:rFonts w:ascii="Arial" w:eastAsiaTheme="minorEastAsia" w:hAnsiTheme="minorEastAsia" w:cs="Arial"/>
          <w:sz w:val="21"/>
          <w:szCs w:val="21"/>
          <w:lang w:val="zh-CN"/>
        </w:rPr>
        <w:t>当前，随着国家安全、环保产业政策的相继落地实施，对石油化工、煤化工等传统能源行业的产业结构调整和优化升级提出了更为严格且明确的新要求，促使传统能源行业朝着绿色、高效、安全的方向发展，这对压力容器的性能、质量和安全性提出了更高标准，倒逼压力容器设备供应商在产品设计、制造工艺、低碳环保等方面持续进行深度技术改造和升级。在国家</w:t>
      </w:r>
      <w:r w:rsidRPr="008B4DBD">
        <w:rPr>
          <w:rFonts w:ascii="Arial" w:eastAsiaTheme="minorEastAsia" w:hAnsi="Arial" w:cs="Arial"/>
          <w:sz w:val="21"/>
          <w:szCs w:val="21"/>
          <w:lang w:val="zh-CN"/>
        </w:rPr>
        <w:t>“</w:t>
      </w:r>
      <w:r w:rsidRPr="008B4DBD">
        <w:rPr>
          <w:rFonts w:ascii="Arial" w:eastAsiaTheme="minorEastAsia" w:hAnsiTheme="minorEastAsia" w:cs="Arial"/>
          <w:sz w:val="21"/>
          <w:szCs w:val="21"/>
          <w:lang w:val="zh-CN"/>
        </w:rPr>
        <w:t>双碳</w:t>
      </w:r>
      <w:r w:rsidRPr="008B4DBD">
        <w:rPr>
          <w:rFonts w:ascii="Arial" w:eastAsiaTheme="minorEastAsia" w:hAnsi="Arial" w:cs="Arial"/>
          <w:sz w:val="21"/>
          <w:szCs w:val="21"/>
          <w:lang w:val="zh-CN"/>
        </w:rPr>
        <w:t>”</w:t>
      </w:r>
      <w:r w:rsidRPr="008B4DBD">
        <w:rPr>
          <w:rFonts w:ascii="Arial" w:eastAsiaTheme="minorEastAsia" w:hAnsiTheme="minorEastAsia" w:cs="Arial"/>
          <w:sz w:val="21"/>
          <w:szCs w:val="21"/>
          <w:lang w:val="zh-CN"/>
        </w:rPr>
        <w:t>战略驱动下，新能源汽车、太阳能光伏、光热发电、地热发电，以及核能、氢能等新能源和清洁能源产业蓬勃发展，这些新兴产业对特材非标压力容器的特殊性能要求，将成为推动行业技术创新和升级的重要驱动力。上述传统能源行业的转型升级以及新兴能源产业的快速发展，为特材非标压力容器制造业创造了广阔的市场空间，同时带动行业向大型化、高效节能、低碳环保、模块化、智能化、业务一体化等方向发展。</w:t>
      </w:r>
    </w:p>
    <w:p w:rsidR="008B4DBD" w:rsidRPr="008B4DBD" w:rsidRDefault="008B4DBD" w:rsidP="00E06F28">
      <w:pPr>
        <w:autoSpaceDE w:val="0"/>
        <w:autoSpaceDN w:val="0"/>
        <w:adjustRightInd w:val="0"/>
        <w:spacing w:beforeLines="25" w:before="78" w:after="0" w:line="324" w:lineRule="auto"/>
        <w:ind w:firstLineChars="200" w:firstLine="420"/>
        <w:rPr>
          <w:rFonts w:ascii="Arial" w:eastAsiaTheme="minorEastAsia" w:hAnsi="Arial" w:cs="Arial"/>
          <w:sz w:val="21"/>
          <w:szCs w:val="21"/>
          <w:lang w:val="zh-CN"/>
        </w:rPr>
      </w:pPr>
      <w:r w:rsidRPr="008B4DBD">
        <w:rPr>
          <w:rFonts w:ascii="Arial" w:eastAsiaTheme="minorEastAsia" w:hAnsiTheme="minorEastAsia" w:cs="Arial"/>
          <w:sz w:val="21"/>
          <w:szCs w:val="21"/>
          <w:lang w:val="zh-CN"/>
        </w:rPr>
        <w:t>在国家政策支持和国内外市场需求的双重推动下，我国特材非标压力容器制造业正迎来关键战略机遇期，行业处在转型升级的关键时期，行业内企业正积极响应国家高效节能、低碳环保等政策号召，加大技术创新和产业升级的力度，努力提升自身核心竞争力。</w:t>
      </w:r>
    </w:p>
    <w:p w:rsidR="008B4DBD" w:rsidRPr="008B4DBD" w:rsidRDefault="008B4DBD" w:rsidP="00E06F28">
      <w:pPr>
        <w:autoSpaceDE w:val="0"/>
        <w:autoSpaceDN w:val="0"/>
        <w:adjustRightInd w:val="0"/>
        <w:spacing w:beforeLines="25" w:before="78" w:after="0" w:line="324" w:lineRule="auto"/>
        <w:ind w:firstLineChars="200" w:firstLine="422"/>
        <w:outlineLvl w:val="3"/>
        <w:rPr>
          <w:rFonts w:ascii="Arial" w:eastAsiaTheme="minorEastAsia" w:hAnsi="Arial" w:cs="Arial"/>
          <w:b/>
          <w:bCs/>
          <w:kern w:val="0"/>
          <w:sz w:val="21"/>
          <w:szCs w:val="21"/>
          <w:lang w:val="zh-CN"/>
        </w:rPr>
      </w:pPr>
      <w:r w:rsidRPr="008B4DBD">
        <w:rPr>
          <w:rFonts w:ascii="Arial" w:eastAsiaTheme="minorEastAsia" w:hAnsiTheme="minorEastAsia" w:cs="Arial"/>
          <w:b/>
          <w:bCs/>
          <w:kern w:val="0"/>
          <w:sz w:val="21"/>
          <w:szCs w:val="21"/>
          <w:lang w:val="zh-CN"/>
        </w:rPr>
        <w:t>（</w:t>
      </w:r>
      <w:r w:rsidRPr="008B4DBD">
        <w:rPr>
          <w:rFonts w:ascii="Arial" w:eastAsiaTheme="minorEastAsia" w:hAnsi="Arial" w:cs="Arial"/>
          <w:b/>
          <w:bCs/>
          <w:kern w:val="0"/>
          <w:sz w:val="21"/>
          <w:szCs w:val="21"/>
          <w:lang w:val="zh-CN"/>
        </w:rPr>
        <w:t>2</w:t>
      </w:r>
      <w:r w:rsidRPr="008B4DBD">
        <w:rPr>
          <w:rFonts w:ascii="Arial" w:eastAsiaTheme="minorEastAsia" w:hAnsiTheme="minorEastAsia" w:cs="Arial"/>
          <w:b/>
          <w:bCs/>
          <w:kern w:val="0"/>
          <w:sz w:val="21"/>
          <w:szCs w:val="21"/>
          <w:lang w:val="zh-CN"/>
        </w:rPr>
        <w:t>）市场竞争格局</w:t>
      </w:r>
    </w:p>
    <w:p w:rsidR="008B4DBD" w:rsidRPr="008B4DBD" w:rsidRDefault="008B4DBD" w:rsidP="00E06F28">
      <w:pPr>
        <w:pStyle w:val="af0"/>
        <w:spacing w:beforeLines="25" w:before="78" w:beforeAutospacing="0" w:afterAutospacing="0" w:line="324" w:lineRule="auto"/>
        <w:ind w:firstLineChars="200" w:firstLine="420"/>
        <w:jc w:val="both"/>
        <w:rPr>
          <w:rFonts w:ascii="Arial" w:eastAsiaTheme="minorEastAsia" w:hAnsi="Arial" w:cs="Arial"/>
          <w:kern w:val="2"/>
          <w:sz w:val="21"/>
          <w:szCs w:val="21"/>
          <w:lang w:val="zh-CN"/>
        </w:rPr>
      </w:pPr>
      <w:r w:rsidRPr="008B4DBD">
        <w:rPr>
          <w:rFonts w:ascii="Arial" w:eastAsiaTheme="minorEastAsia" w:hAnsiTheme="minorEastAsia" w:cs="Arial"/>
          <w:kern w:val="2"/>
          <w:sz w:val="21"/>
          <w:szCs w:val="21"/>
          <w:lang w:val="zh-CN"/>
        </w:rPr>
        <w:t>特材非标压力容器制造业作为装备制造业的关键组成部分，其竞争格局受到多种因素的综合影响。</w:t>
      </w:r>
    </w:p>
    <w:p w:rsidR="008B4DBD" w:rsidRPr="008B4DBD" w:rsidRDefault="008B4DBD" w:rsidP="00E06F28">
      <w:pPr>
        <w:pStyle w:val="af0"/>
        <w:spacing w:beforeLines="25" w:before="78" w:beforeAutospacing="0" w:afterAutospacing="0" w:line="324" w:lineRule="auto"/>
        <w:ind w:firstLineChars="200" w:firstLine="420"/>
        <w:jc w:val="both"/>
        <w:rPr>
          <w:rFonts w:ascii="Arial" w:eastAsiaTheme="minorEastAsia" w:hAnsi="Arial" w:cs="Arial"/>
          <w:kern w:val="2"/>
          <w:sz w:val="21"/>
          <w:szCs w:val="21"/>
          <w:lang w:val="zh-CN"/>
        </w:rPr>
      </w:pPr>
      <w:r w:rsidRPr="008B4DBD">
        <w:rPr>
          <w:rFonts w:ascii="Arial" w:eastAsiaTheme="minorEastAsia" w:hAnsiTheme="minorEastAsia" w:cs="Arial"/>
          <w:kern w:val="2"/>
          <w:sz w:val="21"/>
          <w:szCs w:val="21"/>
          <w:lang w:val="zh-CN"/>
        </w:rPr>
        <w:t>从竞争主体来看，大型国有及国有控股企业优势显著，它们凭借深厚的历史底蕴、雄厚的资金实力、领先的核心技术以及强大的人才储备，稳占高端、大型特材非标压力容器领域，是国家重点项目设备供应的中流砥柱，并引领行业技术发展方向。民营企业以灵活机制和市场洞察力在中低端市场竞争，部分优秀企业正通过创新和质量提升向高端市场进军。外资企业虽有先进技术和管理经验，但受本土化难题及国内企业追赶的影响，市场份额有限。</w:t>
      </w:r>
    </w:p>
    <w:p w:rsidR="008B4DBD" w:rsidRPr="008B4DBD" w:rsidRDefault="008B4DBD" w:rsidP="00E06F28">
      <w:pPr>
        <w:pStyle w:val="af0"/>
        <w:spacing w:beforeLines="25" w:before="78" w:beforeAutospacing="0" w:afterAutospacing="0" w:line="324" w:lineRule="auto"/>
        <w:ind w:firstLineChars="200" w:firstLine="420"/>
        <w:jc w:val="both"/>
        <w:rPr>
          <w:rFonts w:ascii="Arial" w:eastAsiaTheme="minorEastAsia" w:hAnsi="Arial" w:cs="Arial"/>
          <w:kern w:val="2"/>
          <w:sz w:val="21"/>
          <w:szCs w:val="21"/>
          <w:lang w:val="zh-CN"/>
        </w:rPr>
      </w:pPr>
      <w:r w:rsidRPr="008B4DBD">
        <w:rPr>
          <w:rFonts w:ascii="Arial" w:eastAsiaTheme="minorEastAsia" w:hAnsiTheme="minorEastAsia" w:cs="Arial"/>
          <w:kern w:val="2"/>
          <w:sz w:val="21"/>
          <w:szCs w:val="21"/>
          <w:lang w:val="zh-CN"/>
        </w:rPr>
        <w:t>从竞争要素看，技术研发是核心动力，掌握先进技术的企业能生产高附加值产品，契合高端市场的需求。产品质量关乎用户安全与生产稳定，是企业参与市场竞争的基本准入门槛，在特材非标压力容器行业尤为关键。价格竞争在中低端市场中扮演着关键角色，企业要通过优化业务流程、整合供应链资源、采用先进的生产技术等方式，降低成本来提升竞争力。服务质量则是增强客户粘性的重要手段，全方位的优质服务能提高客户的满意度与忠诚度。</w:t>
      </w:r>
    </w:p>
    <w:p w:rsidR="008B4DBD" w:rsidRPr="008B4DBD" w:rsidRDefault="008B4DBD" w:rsidP="00E06F28">
      <w:pPr>
        <w:pStyle w:val="af0"/>
        <w:spacing w:beforeLines="25" w:before="78" w:beforeAutospacing="0" w:afterAutospacing="0" w:line="324" w:lineRule="auto"/>
        <w:ind w:firstLineChars="200" w:firstLine="420"/>
        <w:jc w:val="both"/>
        <w:rPr>
          <w:rFonts w:ascii="Arial" w:eastAsiaTheme="minorEastAsia" w:hAnsi="Arial" w:cs="Arial"/>
          <w:kern w:val="2"/>
          <w:sz w:val="21"/>
          <w:szCs w:val="21"/>
          <w:lang w:val="zh-CN"/>
        </w:rPr>
      </w:pPr>
      <w:r w:rsidRPr="008B4DBD">
        <w:rPr>
          <w:rFonts w:ascii="Arial" w:eastAsiaTheme="minorEastAsia" w:hAnsiTheme="minorEastAsia" w:cs="Arial"/>
          <w:kern w:val="2"/>
          <w:sz w:val="21"/>
          <w:szCs w:val="21"/>
          <w:lang w:val="zh-CN"/>
        </w:rPr>
        <w:t>从区域分布看，华东、华北和华南地区是国内特材非标压力容器制造业的产业集中区域，也是竞争最为激烈的地区，在这些地区，企业之间的竞争不仅体现在产品质量、价格和服务等方面，还体现在技术创新、品牌建设等方面。同时，还面临着来自国际市场的竞争压力，需要不断提升自身的核心竞争力，以适应市场的变化。与华东、华北和华南地区相比，中西部地区的特材非标压力容器制造业发展相对滞后。然而，随着国家</w:t>
      </w:r>
      <w:r w:rsidRPr="008B4DBD">
        <w:rPr>
          <w:rFonts w:ascii="Arial" w:eastAsiaTheme="minorEastAsia" w:hAnsi="Arial" w:cs="Arial"/>
          <w:kern w:val="2"/>
          <w:sz w:val="21"/>
          <w:szCs w:val="21"/>
          <w:lang w:val="zh-CN"/>
        </w:rPr>
        <w:t>“</w:t>
      </w:r>
      <w:r w:rsidRPr="008B4DBD">
        <w:rPr>
          <w:rFonts w:ascii="Arial" w:eastAsiaTheme="minorEastAsia" w:hAnsiTheme="minorEastAsia" w:cs="Arial"/>
          <w:kern w:val="2"/>
          <w:sz w:val="21"/>
          <w:szCs w:val="21"/>
          <w:lang w:val="zh-CN"/>
        </w:rPr>
        <w:t>一带一路</w:t>
      </w:r>
      <w:r w:rsidRPr="008B4DBD">
        <w:rPr>
          <w:rFonts w:ascii="Arial" w:eastAsiaTheme="minorEastAsia" w:hAnsi="Arial" w:cs="Arial"/>
          <w:kern w:val="2"/>
          <w:sz w:val="21"/>
          <w:szCs w:val="21"/>
          <w:lang w:val="zh-CN"/>
        </w:rPr>
        <w:t>”</w:t>
      </w:r>
      <w:r w:rsidRPr="008B4DBD">
        <w:rPr>
          <w:rFonts w:ascii="Arial" w:eastAsiaTheme="minorEastAsia" w:hAnsiTheme="minorEastAsia" w:cs="Arial"/>
          <w:kern w:val="2"/>
          <w:sz w:val="21"/>
          <w:szCs w:val="21"/>
          <w:lang w:val="zh-CN"/>
        </w:rPr>
        <w:t>倡议、西部大开发等战略的推进，中西部地区的基础设施建设和工业发展步伐加快，对特材非标压力容器的市场需求也在不断增加。因此，中西部地区正逐渐成为特材非标压力容器制造业的新兴市场，具有较强的发展潜力。</w:t>
      </w:r>
    </w:p>
    <w:p w:rsidR="008B4DBD" w:rsidRPr="008B4DBD" w:rsidRDefault="008B4DBD" w:rsidP="00E06F28">
      <w:pPr>
        <w:pStyle w:val="af0"/>
        <w:spacing w:beforeLines="25" w:before="78" w:beforeAutospacing="0" w:afterAutospacing="0" w:line="324" w:lineRule="auto"/>
        <w:ind w:firstLineChars="200" w:firstLine="420"/>
        <w:jc w:val="both"/>
        <w:rPr>
          <w:rFonts w:ascii="Arial" w:eastAsiaTheme="minorEastAsia" w:hAnsi="Arial" w:cs="Arial"/>
          <w:kern w:val="2"/>
          <w:sz w:val="21"/>
          <w:szCs w:val="21"/>
          <w:lang w:val="zh-CN"/>
        </w:rPr>
      </w:pPr>
      <w:r w:rsidRPr="008B4DBD">
        <w:rPr>
          <w:rFonts w:ascii="Arial" w:eastAsiaTheme="minorEastAsia" w:hAnsiTheme="minorEastAsia" w:cs="Arial"/>
          <w:kern w:val="2"/>
          <w:sz w:val="21"/>
          <w:szCs w:val="21"/>
          <w:lang w:val="zh-CN"/>
        </w:rPr>
        <w:t>总体来看，当前我国特材非标压力容器制造行业竞争格局呈现出复杂且多元的态势。一方面，行业整体发展态势向好，市场和生产技术较为成熟，规模持续扩大，生产能力不断提高，</w:t>
      </w:r>
      <w:r w:rsidRPr="008B4DBD">
        <w:rPr>
          <w:rFonts w:ascii="Arial" w:eastAsiaTheme="minorEastAsia" w:hAnsi="Arial" w:cs="Arial"/>
          <w:kern w:val="2"/>
          <w:sz w:val="21"/>
          <w:szCs w:val="21"/>
          <w:lang w:val="zh-CN"/>
        </w:rPr>
        <w:t xml:space="preserve">ASME </w:t>
      </w:r>
      <w:r w:rsidRPr="008B4DBD">
        <w:rPr>
          <w:rFonts w:ascii="Arial" w:eastAsiaTheme="minorEastAsia" w:hAnsiTheme="minorEastAsia" w:cs="Arial"/>
          <w:kern w:val="2"/>
          <w:sz w:val="21"/>
          <w:szCs w:val="21"/>
          <w:lang w:val="zh-CN"/>
        </w:rPr>
        <w:t>持证厂商及证书数量增多，市场集中度也在上升。然而，行业发展并不均衡，普遍缺乏高精尖技术和核心竞争力，形成了中低端产能过剩、高端产能相对不足的局面。中低端产品市场竞争激烈，众多企业在这一领域进行博弈，而高端产品制造受资金和技术水平限制，能够参与竞争的企业较少。特材压力容器及其配套管道管件凭借优异的性能在多个领域的应用占比大幅提升，且下游应用领域仍在持续拓展，但由于其技术含量高、加工工艺复杂，对企业的研发能力、生产工艺技术、装备水平及人员技能等要求极高，国内具备国际竞争力的专业制造商较少。</w:t>
      </w:r>
    </w:p>
    <w:p w:rsidR="008B4DBD" w:rsidRPr="008B4DBD" w:rsidRDefault="008B4DBD" w:rsidP="00E06F28">
      <w:pPr>
        <w:pStyle w:val="af0"/>
        <w:spacing w:beforeLines="25" w:before="78" w:beforeAutospacing="0" w:afterAutospacing="0" w:line="324" w:lineRule="auto"/>
        <w:ind w:firstLineChars="200" w:firstLine="420"/>
        <w:jc w:val="both"/>
        <w:rPr>
          <w:rFonts w:ascii="Arial" w:eastAsiaTheme="minorEastAsia" w:hAnsi="Arial" w:cs="Arial"/>
          <w:kern w:val="2"/>
          <w:sz w:val="21"/>
          <w:szCs w:val="21"/>
          <w:lang w:val="zh-CN"/>
        </w:rPr>
      </w:pPr>
      <w:r w:rsidRPr="008B4DBD">
        <w:rPr>
          <w:rFonts w:ascii="Arial" w:eastAsiaTheme="minorEastAsia" w:hAnsiTheme="minorEastAsia" w:cs="Arial"/>
          <w:kern w:val="2"/>
          <w:sz w:val="21"/>
          <w:szCs w:val="21"/>
          <w:lang w:val="zh-CN"/>
        </w:rPr>
        <w:t>未来，随着市场竞争的不断加剧，行业内头部企业凭借在技术研发、市场份额、品牌影响力等方面的优势，市场份额将进一步攀升。而小型企业由于在资源获取、技术创新等方面的劣势，生存空间将受到严重挤压，行业将不可避免地呈现出</w:t>
      </w:r>
      <w:r w:rsidRPr="00FF795F">
        <w:rPr>
          <w:rFonts w:asciiTheme="minorEastAsia" w:eastAsiaTheme="minorEastAsia" w:hAnsiTheme="minorEastAsia" w:cs="Arial"/>
          <w:kern w:val="2"/>
          <w:sz w:val="21"/>
          <w:szCs w:val="21"/>
          <w:lang w:val="zh-CN"/>
        </w:rPr>
        <w:t>“强者越强、弱者越弱”</w:t>
      </w:r>
      <w:r w:rsidRPr="008B4DBD">
        <w:rPr>
          <w:rFonts w:ascii="Arial" w:eastAsiaTheme="minorEastAsia" w:hAnsiTheme="minorEastAsia" w:cs="Arial"/>
          <w:kern w:val="2"/>
          <w:sz w:val="21"/>
          <w:szCs w:val="21"/>
          <w:lang w:val="zh-CN"/>
        </w:rPr>
        <w:t>的两极分化格局，行业集中度有望进一步提升。同时，下游化工、能源等行业的转型升级、安全环保门槛的不断提高以及特材非标压力容器应用领域的拓宽，使得高端市场对产品性能要求更为复杂，也促使产品向大型化、高效节能、低碳环保、模块化、业务一体化等方向发展。在这一过程中，技术实力在行业竞争中的重要性日益凸显，只有那些掌握更多核心技术、具备更大产业规模、更强装备实力和丰富制造经验的企业，才能在高端市场中占据一席之地，获取更多的客户资源，并实现新产品的快速开发与迭代。</w:t>
      </w:r>
    </w:p>
    <w:p w:rsidR="008B4DBD" w:rsidRPr="008B4DBD" w:rsidRDefault="008B4DBD" w:rsidP="00E06F28">
      <w:pPr>
        <w:autoSpaceDE w:val="0"/>
        <w:autoSpaceDN w:val="0"/>
        <w:adjustRightInd w:val="0"/>
        <w:spacing w:beforeLines="25" w:before="78" w:after="0" w:line="324" w:lineRule="auto"/>
        <w:ind w:firstLineChars="200" w:firstLine="422"/>
        <w:outlineLvl w:val="3"/>
        <w:rPr>
          <w:rFonts w:ascii="Arial" w:eastAsiaTheme="minorEastAsia" w:hAnsi="Arial" w:cs="Arial"/>
          <w:b/>
          <w:bCs/>
          <w:kern w:val="0"/>
          <w:sz w:val="21"/>
          <w:szCs w:val="21"/>
          <w:lang w:val="zh-CN"/>
        </w:rPr>
      </w:pPr>
      <w:r w:rsidRPr="008B4DBD">
        <w:rPr>
          <w:rFonts w:ascii="Arial" w:eastAsiaTheme="minorEastAsia" w:hAnsiTheme="minorEastAsia" w:cs="Arial"/>
          <w:b/>
          <w:bCs/>
          <w:kern w:val="0"/>
          <w:sz w:val="21"/>
          <w:szCs w:val="21"/>
          <w:lang w:val="zh-CN"/>
        </w:rPr>
        <w:t>（</w:t>
      </w:r>
      <w:r w:rsidRPr="008B4DBD">
        <w:rPr>
          <w:rFonts w:ascii="Arial" w:eastAsiaTheme="minorEastAsia" w:hAnsi="Arial" w:cs="Arial"/>
          <w:b/>
          <w:bCs/>
          <w:kern w:val="0"/>
          <w:sz w:val="21"/>
          <w:szCs w:val="21"/>
          <w:lang w:val="zh-CN"/>
        </w:rPr>
        <w:t>3</w:t>
      </w:r>
      <w:r w:rsidRPr="008B4DBD">
        <w:rPr>
          <w:rFonts w:ascii="Arial" w:eastAsiaTheme="minorEastAsia" w:hAnsiTheme="minorEastAsia" w:cs="Arial"/>
          <w:b/>
          <w:bCs/>
          <w:kern w:val="0"/>
          <w:sz w:val="21"/>
          <w:szCs w:val="21"/>
          <w:lang w:val="zh-CN"/>
        </w:rPr>
        <w:t>）公司所处的行业地位</w:t>
      </w:r>
    </w:p>
    <w:p w:rsidR="008B4DBD" w:rsidRPr="008B4DBD" w:rsidRDefault="008B4DBD" w:rsidP="00E06F28">
      <w:pPr>
        <w:spacing w:beforeLines="25" w:before="78" w:after="0" w:line="324" w:lineRule="auto"/>
        <w:ind w:firstLineChars="200" w:firstLine="420"/>
        <w:rPr>
          <w:rFonts w:ascii="Arial" w:eastAsiaTheme="minorEastAsia" w:hAnsi="Arial" w:cs="Arial"/>
          <w:sz w:val="21"/>
          <w:szCs w:val="21"/>
        </w:rPr>
      </w:pPr>
      <w:r w:rsidRPr="008B4DBD">
        <w:rPr>
          <w:rFonts w:ascii="Arial" w:eastAsiaTheme="minorEastAsia" w:hAnsiTheme="minorEastAsia" w:cs="Arial"/>
          <w:sz w:val="21"/>
          <w:szCs w:val="21"/>
        </w:rPr>
        <w:t>公司是我国特材非标装备制造领域的开拓者和技术发展引领者，经过</w:t>
      </w:r>
      <w:r w:rsidRPr="008B4DBD">
        <w:rPr>
          <w:rFonts w:ascii="Arial" w:eastAsiaTheme="minorEastAsia" w:hAnsi="Arial" w:cs="Arial"/>
          <w:sz w:val="21"/>
          <w:szCs w:val="21"/>
        </w:rPr>
        <w:t>30</w:t>
      </w:r>
      <w:r w:rsidRPr="008B4DBD">
        <w:rPr>
          <w:rFonts w:ascii="Arial" w:eastAsiaTheme="minorEastAsia" w:hAnsiTheme="minorEastAsia" w:cs="Arial"/>
          <w:sz w:val="21"/>
          <w:szCs w:val="21"/>
        </w:rPr>
        <w:t>年的技术深耕和市场拓展，</w:t>
      </w:r>
      <w:r w:rsidRPr="008B4DBD">
        <w:rPr>
          <w:rFonts w:ascii="Arial" w:eastAsiaTheme="minorEastAsia" w:hAnsi="Arial" w:cs="Arial"/>
          <w:sz w:val="21"/>
          <w:szCs w:val="21"/>
        </w:rPr>
        <w:t>“</w:t>
      </w:r>
      <w:r w:rsidRPr="00FF795F">
        <w:rPr>
          <w:rFonts w:eastAsiaTheme="minorEastAsia"/>
          <w:sz w:val="21"/>
          <w:szCs w:val="21"/>
        </w:rPr>
        <w:t>BAOSE</w:t>
      </w:r>
      <w:r w:rsidRPr="008B4DBD">
        <w:rPr>
          <w:rFonts w:ascii="Arial" w:eastAsiaTheme="minorEastAsia" w:hAnsi="Arial" w:cs="Arial"/>
          <w:sz w:val="21"/>
          <w:szCs w:val="21"/>
        </w:rPr>
        <w:t>”</w:t>
      </w:r>
      <w:r w:rsidRPr="008B4DBD">
        <w:rPr>
          <w:rFonts w:ascii="Arial" w:eastAsiaTheme="minorEastAsia" w:hAnsiTheme="minorEastAsia" w:cs="Arial"/>
          <w:sz w:val="21"/>
          <w:szCs w:val="21"/>
        </w:rPr>
        <w:t>在业内树立了响亮的品牌，公司已成长为国内特材非标装备制造领域的头部企业，其优势体现在涉及特种材料品种全面性、产品应用领域的广泛性、以及领先的技术水平和颇具规模的产业布局。在特材化工装备制造领域，公司占据稳固的市场地位，公司制造的多项大型特材化工核心装备均属国内首制，成功实现了我国在特材装备制造领域多项</w:t>
      </w:r>
      <w:r w:rsidRPr="008B4DBD">
        <w:rPr>
          <w:rFonts w:ascii="Arial" w:eastAsiaTheme="minorEastAsia" w:hAnsi="Arial" w:cs="Arial"/>
          <w:sz w:val="21"/>
          <w:szCs w:val="21"/>
        </w:rPr>
        <w:t>“</w:t>
      </w:r>
      <w:r w:rsidRPr="008B4DBD">
        <w:rPr>
          <w:rFonts w:ascii="Arial" w:eastAsiaTheme="minorEastAsia" w:hAnsiTheme="minorEastAsia" w:cs="Arial"/>
          <w:sz w:val="21"/>
          <w:szCs w:val="21"/>
        </w:rPr>
        <w:t>零的突破</w:t>
      </w:r>
      <w:r w:rsidRPr="008B4DBD">
        <w:rPr>
          <w:rFonts w:ascii="Arial" w:eastAsiaTheme="minorEastAsia" w:hAnsi="Arial" w:cs="Arial"/>
          <w:sz w:val="21"/>
          <w:szCs w:val="21"/>
        </w:rPr>
        <w:t>”</w:t>
      </w:r>
      <w:r w:rsidRPr="008B4DBD">
        <w:rPr>
          <w:rFonts w:ascii="Arial" w:eastAsiaTheme="minorEastAsia" w:hAnsiTheme="minorEastAsia" w:cs="Arial"/>
          <w:sz w:val="21"/>
          <w:szCs w:val="21"/>
        </w:rPr>
        <w:t>，填补了多项技术空白。承接的诸多世界级大型</w:t>
      </w:r>
      <w:r w:rsidRPr="00FF795F">
        <w:rPr>
          <w:rFonts w:eastAsiaTheme="minorEastAsia"/>
          <w:sz w:val="21"/>
          <w:szCs w:val="21"/>
        </w:rPr>
        <w:t>PTA</w:t>
      </w:r>
      <w:r w:rsidRPr="00FF795F">
        <w:rPr>
          <w:rFonts w:eastAsiaTheme="minorEastAsia"/>
          <w:sz w:val="21"/>
          <w:szCs w:val="21"/>
        </w:rPr>
        <w:t>、</w:t>
      </w:r>
      <w:r w:rsidRPr="00FF795F">
        <w:rPr>
          <w:rFonts w:eastAsiaTheme="minorEastAsia"/>
          <w:sz w:val="21"/>
          <w:szCs w:val="21"/>
        </w:rPr>
        <w:t>MMA</w:t>
      </w:r>
      <w:r w:rsidRPr="00FF795F">
        <w:rPr>
          <w:rFonts w:eastAsiaTheme="minorEastAsia"/>
          <w:sz w:val="21"/>
          <w:szCs w:val="21"/>
        </w:rPr>
        <w:t>、</w:t>
      </w:r>
      <w:r w:rsidRPr="00FF795F">
        <w:rPr>
          <w:rFonts w:eastAsiaTheme="minorEastAsia"/>
          <w:sz w:val="21"/>
          <w:szCs w:val="21"/>
        </w:rPr>
        <w:t>PDH</w:t>
      </w:r>
      <w:r w:rsidRPr="008B4DBD">
        <w:rPr>
          <w:rFonts w:ascii="Arial" w:eastAsiaTheme="minorEastAsia" w:hAnsiTheme="minorEastAsia" w:cs="Arial"/>
          <w:sz w:val="21"/>
          <w:szCs w:val="21"/>
        </w:rPr>
        <w:t>、大炼化项目等成套设备的制造任务，一次次刷新我国乃至世界大型特材非标装备制造记录，彰显了卓越的技术实力和精湛的制造工艺。近年来，随着新能源产业的蓬勃兴起，公司凭借深厚的技术底蕴、先进的装备设施以及卓越的品牌声誉，在新能源装备制造领域实现了跨越式发展。公司自主研制的大型高压反应釜设备以其卓越的性能和创新的技术，成功打破了国外企业垄断，成为国内少数具备新能源汽车动力电池原材料和光伏多晶硅核心生产装置生产能力的专业制造商之一，为我国新能源产业的发展提供了强有力支持。在高端大型、重型特材装备制造方面，公司的市场占有率和综合竞争实力稳居行业第一梯队。公司始终坚持品质至上的理念，在产品大型化、特材化、精品化的基础上，进一步聚焦高端化、国际化、差异化发展，不断提升产品的科技含量和附加值，产品不仅在国内市场备受青睐，更在国际市场上崭露头角，为特材非标装备行业的技术进步和产业升级注入了强大动力，推动了全球化工、能源等产业的转型升级。</w:t>
      </w:r>
    </w:p>
    <w:p w:rsidR="008B4DBD" w:rsidRPr="008B4DBD" w:rsidRDefault="008B4DBD" w:rsidP="00E06F28">
      <w:pPr>
        <w:spacing w:beforeLines="25" w:before="78" w:after="0" w:line="324" w:lineRule="auto"/>
        <w:ind w:firstLineChars="200" w:firstLine="420"/>
        <w:rPr>
          <w:rFonts w:ascii="Arial" w:eastAsiaTheme="minorEastAsia" w:hAnsi="Arial" w:cs="Arial"/>
          <w:sz w:val="21"/>
          <w:szCs w:val="21"/>
        </w:rPr>
      </w:pPr>
      <w:r w:rsidRPr="008B4DBD">
        <w:rPr>
          <w:rFonts w:ascii="Arial" w:eastAsiaTheme="minorEastAsia" w:hAnsiTheme="minorEastAsia" w:cs="Arial"/>
          <w:sz w:val="21"/>
          <w:szCs w:val="21"/>
        </w:rPr>
        <w:t>此外，相较于同行业上市公司，公司独特的舰船装备板块业务，不断为国家深海事业的发展提供技术支撑，具有强劲的发展潜力，是公司极具前瞻性与战略性的赛道。这一业务布局丰富了公司的产品结构，增强了抗风险能力和市场竞争力。</w:t>
      </w:r>
    </w:p>
    <w:p w:rsidR="00A657C2" w:rsidRPr="00090FC7" w:rsidRDefault="00A657C2" w:rsidP="00A657C2">
      <w:pPr>
        <w:spacing w:before="120" w:line="360" w:lineRule="auto"/>
        <w:outlineLvl w:val="2"/>
        <w:rPr>
          <w:rFonts w:ascii="Arial" w:hAnsi="Arial" w:cs="Arial"/>
          <w:b/>
          <w:sz w:val="21"/>
          <w:szCs w:val="21"/>
        </w:rPr>
      </w:pPr>
      <w:r w:rsidRPr="00090FC7">
        <w:rPr>
          <w:rFonts w:ascii="Arial" w:hAnsi="Arial" w:cs="Arial"/>
          <w:b/>
          <w:sz w:val="21"/>
          <w:szCs w:val="21"/>
        </w:rPr>
        <w:t>3</w:t>
      </w:r>
      <w:r w:rsidRPr="00090FC7">
        <w:rPr>
          <w:rFonts w:ascii="Arial" w:hAnsi="Arial" w:cs="Arial" w:hint="eastAsia"/>
          <w:b/>
          <w:sz w:val="21"/>
          <w:szCs w:val="21"/>
        </w:rPr>
        <w:t>、主要会计数据和财务指标</w:t>
      </w:r>
    </w:p>
    <w:p w:rsidR="00A657C2" w:rsidRPr="00090FC7" w:rsidRDefault="00A657C2" w:rsidP="00326086">
      <w:pPr>
        <w:pStyle w:val="Section"/>
        <w:keepNext w:val="0"/>
        <w:keepLines w:val="0"/>
        <w:spacing w:before="40" w:after="0" w:line="360" w:lineRule="auto"/>
        <w:outlineLvl w:val="3"/>
        <w:rPr>
          <w:rFonts w:ascii="Arial" w:hAnsi="Arial" w:cs="Arial"/>
          <w:bCs w:val="0"/>
          <w:szCs w:val="24"/>
        </w:rPr>
      </w:pPr>
      <w:r w:rsidRPr="00090FC7">
        <w:rPr>
          <w:rFonts w:ascii="Arial" w:hAnsi="Arial" w:cs="Arial" w:hint="eastAsia"/>
          <w:bCs w:val="0"/>
          <w:szCs w:val="24"/>
        </w:rPr>
        <w:t>（</w:t>
      </w:r>
      <w:r w:rsidRPr="00090FC7">
        <w:rPr>
          <w:rFonts w:ascii="Arial" w:hAnsi="Arial" w:cs="Arial"/>
          <w:bCs w:val="0"/>
          <w:szCs w:val="24"/>
        </w:rPr>
        <w:t>1</w:t>
      </w:r>
      <w:r w:rsidRPr="00090FC7">
        <w:rPr>
          <w:rFonts w:ascii="Arial" w:hAnsi="Arial" w:cs="Arial" w:hint="eastAsia"/>
          <w:bCs w:val="0"/>
          <w:szCs w:val="24"/>
        </w:rPr>
        <w:t>）近三年主要会计数据和财务指标</w:t>
      </w:r>
    </w:p>
    <w:p w:rsidR="00A657C2" w:rsidRPr="00090FC7" w:rsidRDefault="00A657C2" w:rsidP="00326086">
      <w:pPr>
        <w:spacing w:before="0" w:after="0" w:line="360" w:lineRule="auto"/>
        <w:jc w:val="left"/>
        <w:rPr>
          <w:rFonts w:ascii="Arial" w:hAnsi="Arial" w:cs="Arial"/>
          <w:sz w:val="21"/>
          <w:szCs w:val="21"/>
        </w:rPr>
      </w:pPr>
      <w:r w:rsidRPr="00090FC7">
        <w:rPr>
          <w:rFonts w:ascii="Arial" w:hAnsi="Arial" w:cs="Arial" w:hint="eastAsia"/>
          <w:sz w:val="21"/>
          <w:szCs w:val="21"/>
        </w:rPr>
        <w:t>公司是否需追溯调整或重述以前年度会计数据</w:t>
      </w:r>
    </w:p>
    <w:p w:rsidR="00326086" w:rsidRDefault="008B4DBD" w:rsidP="00326086">
      <w:pPr>
        <w:spacing w:line="360" w:lineRule="auto"/>
        <w:rPr>
          <w:rFonts w:ascii="宋体" w:hAnsi="宋体" w:cs="宋体"/>
          <w:sz w:val="21"/>
          <w:szCs w:val="21"/>
        </w:rPr>
      </w:pPr>
      <w:r w:rsidRPr="00207922">
        <w:rPr>
          <w:rFonts w:ascii="宋体" w:hAnsi="宋体" w:cs="宋体"/>
          <w:sz w:val="21"/>
          <w:szCs w:val="21"/>
        </w:rPr>
        <w:t>□</w:t>
      </w:r>
      <w:r w:rsidR="00326086">
        <w:rPr>
          <w:rFonts w:ascii="宋体" w:hAnsi="宋体" w:cs="宋体"/>
          <w:sz w:val="21"/>
          <w:szCs w:val="21"/>
        </w:rPr>
        <w:t>是</w:t>
      </w:r>
      <w:r>
        <w:rPr>
          <w:rFonts w:ascii="宋体" w:hAnsi="宋体" w:cs="宋体" w:hint="eastAsia"/>
          <w:sz w:val="21"/>
          <w:szCs w:val="21"/>
        </w:rPr>
        <w:t xml:space="preserve"> </w:t>
      </w:r>
      <w:r>
        <w:rPr>
          <w:rFonts w:ascii="宋体" w:hAnsi="宋体" w:cs="宋体"/>
          <w:kern w:val="0"/>
          <w:sz w:val="21"/>
          <w:szCs w:val="21"/>
        </w:rPr>
        <w:sym w:font="Wingdings 2" w:char="0052"/>
      </w:r>
      <w:r w:rsidR="00326086">
        <w:rPr>
          <w:rFonts w:ascii="宋体" w:hAnsi="宋体" w:cs="宋体" w:hint="eastAsia"/>
          <w:sz w:val="21"/>
          <w:szCs w:val="21"/>
        </w:rPr>
        <w:t>否</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2093"/>
        <w:gridCol w:w="1843"/>
        <w:gridCol w:w="1842"/>
        <w:gridCol w:w="1933"/>
        <w:gridCol w:w="1928"/>
      </w:tblGrid>
      <w:tr w:rsidR="008B4DBD" w:rsidRPr="008B4DBD" w:rsidTr="008B4DBD">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rPr>
                <w:rFonts w:ascii="Arial" w:eastAsiaTheme="minorEastAsia" w:hAnsi="Arial" w:cs="Arial"/>
              </w:rPr>
            </w:pP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eastAsiaTheme="minorEastAsia" w:hAnsi="Arial" w:cs="Arial"/>
              </w:rPr>
            </w:pPr>
            <w:r w:rsidRPr="008B4DBD">
              <w:rPr>
                <w:rFonts w:ascii="Arial" w:eastAsiaTheme="minorEastAsia" w:hAnsi="Arial" w:cs="Arial"/>
              </w:rPr>
              <w:t>2024</w:t>
            </w:r>
            <w:r w:rsidRPr="008B4DBD">
              <w:rPr>
                <w:rFonts w:ascii="Arial" w:eastAsiaTheme="minorEastAsia" w:hAnsiTheme="minorEastAsia" w:cs="Arial"/>
              </w:rPr>
              <w:t>年末</w:t>
            </w:r>
          </w:p>
        </w:tc>
        <w:tc>
          <w:tcPr>
            <w:tcW w:w="1842"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eastAsiaTheme="minorEastAsia" w:hAnsi="Arial" w:cs="Arial"/>
              </w:rPr>
            </w:pPr>
            <w:r w:rsidRPr="008B4DBD">
              <w:rPr>
                <w:rFonts w:ascii="Arial" w:eastAsiaTheme="minorEastAsia" w:hAnsi="Arial" w:cs="Arial"/>
              </w:rPr>
              <w:t>2023</w:t>
            </w:r>
            <w:r w:rsidRPr="008B4DBD">
              <w:rPr>
                <w:rFonts w:ascii="Arial" w:eastAsiaTheme="minorEastAsia" w:hAnsiTheme="minorEastAsia" w:cs="Arial"/>
              </w:rPr>
              <w:t>年末</w:t>
            </w:r>
          </w:p>
        </w:tc>
        <w:tc>
          <w:tcPr>
            <w:tcW w:w="193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eastAsiaTheme="minorEastAsia" w:hAnsi="Arial" w:cs="Arial"/>
              </w:rPr>
            </w:pPr>
            <w:r w:rsidRPr="008B4DBD">
              <w:rPr>
                <w:rFonts w:ascii="Arial" w:eastAsiaTheme="minorEastAsia" w:hAnsiTheme="minorEastAsia" w:cs="Arial"/>
              </w:rPr>
              <w:t>本年末比上年末增减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eastAsiaTheme="minorEastAsia" w:hAnsi="Arial" w:cs="Arial"/>
              </w:rPr>
            </w:pPr>
            <w:r w:rsidRPr="008B4DBD">
              <w:rPr>
                <w:rFonts w:ascii="Arial" w:eastAsiaTheme="minorEastAsia" w:hAnsi="Arial" w:cs="Arial"/>
              </w:rPr>
              <w:t>2022</w:t>
            </w:r>
            <w:r w:rsidRPr="008B4DBD">
              <w:rPr>
                <w:rFonts w:ascii="Arial" w:eastAsiaTheme="minorEastAsia" w:hAnsiTheme="minorEastAsia" w:cs="Arial"/>
              </w:rPr>
              <w:t>年末</w:t>
            </w:r>
          </w:p>
        </w:tc>
      </w:tr>
      <w:tr w:rsidR="008B4DBD" w:rsidRPr="008B4DBD" w:rsidTr="008B4DBD">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eastAsiaTheme="minorEastAsia" w:hAnsi="Arial" w:cs="Arial"/>
              </w:rPr>
            </w:pPr>
            <w:r w:rsidRPr="008B4DBD">
              <w:rPr>
                <w:rFonts w:ascii="Arial" w:eastAsiaTheme="minorEastAsia" w:hAnsiTheme="minorEastAsia" w:cs="Arial"/>
              </w:rPr>
              <w:t>总资产</w:t>
            </w:r>
          </w:p>
        </w:tc>
        <w:tc>
          <w:tcPr>
            <w:tcW w:w="184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2,407,259,568.78</w:t>
            </w:r>
          </w:p>
        </w:tc>
        <w:tc>
          <w:tcPr>
            <w:tcW w:w="1842"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2,588,800,345.51</w:t>
            </w:r>
          </w:p>
        </w:tc>
        <w:tc>
          <w:tcPr>
            <w:tcW w:w="193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-7.01%</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2,136,116,686.55</w:t>
            </w:r>
          </w:p>
        </w:tc>
      </w:tr>
      <w:tr w:rsidR="008B4DBD" w:rsidRPr="008B4DBD" w:rsidTr="008B4DBD">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eastAsiaTheme="minorEastAsia" w:hAnsi="Arial" w:cs="Arial"/>
              </w:rPr>
            </w:pPr>
            <w:r w:rsidRPr="008B4DBD">
              <w:rPr>
                <w:rFonts w:ascii="Arial" w:eastAsiaTheme="minorEastAsia" w:hAnsiTheme="minorEastAsia" w:cs="Arial"/>
              </w:rPr>
              <w:t>归属于上市公司股东的净资产</w:t>
            </w:r>
          </w:p>
        </w:tc>
        <w:tc>
          <w:tcPr>
            <w:tcW w:w="184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1,461,650,891.34</w:t>
            </w:r>
          </w:p>
        </w:tc>
        <w:tc>
          <w:tcPr>
            <w:tcW w:w="1842"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1,416,231,397.27</w:t>
            </w:r>
          </w:p>
        </w:tc>
        <w:tc>
          <w:tcPr>
            <w:tcW w:w="193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3.21%</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673,766,492.78</w:t>
            </w:r>
          </w:p>
        </w:tc>
      </w:tr>
      <w:tr w:rsidR="008B4DBD" w:rsidRPr="008B4DBD" w:rsidTr="008B4DBD">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rPr>
                <w:rFonts w:ascii="Arial" w:eastAsiaTheme="minorEastAsia" w:hAnsi="Arial" w:cs="Arial"/>
              </w:rPr>
            </w:pPr>
          </w:p>
        </w:tc>
        <w:tc>
          <w:tcPr>
            <w:tcW w:w="184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eastAsiaTheme="minorEastAsia" w:hAnsi="Arial" w:cs="Arial"/>
              </w:rPr>
            </w:pPr>
            <w:r w:rsidRPr="008B4DBD">
              <w:rPr>
                <w:rFonts w:ascii="Arial" w:eastAsiaTheme="minorEastAsia" w:hAnsi="Arial" w:cs="Arial"/>
              </w:rPr>
              <w:t>2024</w:t>
            </w:r>
            <w:r w:rsidRPr="008B4DBD">
              <w:rPr>
                <w:rFonts w:ascii="Arial" w:eastAsiaTheme="minorEastAsia" w:hAnsiTheme="minorEastAsia" w:cs="Arial"/>
              </w:rPr>
              <w:t>年</w:t>
            </w:r>
          </w:p>
        </w:tc>
        <w:tc>
          <w:tcPr>
            <w:tcW w:w="1842"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eastAsiaTheme="minorEastAsia" w:hAnsi="Arial" w:cs="Arial"/>
              </w:rPr>
            </w:pPr>
            <w:r w:rsidRPr="008B4DBD">
              <w:rPr>
                <w:rFonts w:ascii="Arial" w:eastAsiaTheme="minorEastAsia" w:hAnsi="Arial" w:cs="Arial"/>
              </w:rPr>
              <w:t>2023</w:t>
            </w:r>
            <w:r w:rsidRPr="008B4DBD">
              <w:rPr>
                <w:rFonts w:ascii="Arial" w:eastAsiaTheme="minorEastAsia" w:hAnsiTheme="minorEastAsia" w:cs="Arial"/>
              </w:rPr>
              <w:t>年</w:t>
            </w:r>
          </w:p>
        </w:tc>
        <w:tc>
          <w:tcPr>
            <w:tcW w:w="193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eastAsiaTheme="minorEastAsia" w:hAnsi="Arial" w:cs="Arial"/>
              </w:rPr>
            </w:pPr>
            <w:r w:rsidRPr="008B4DBD">
              <w:rPr>
                <w:rFonts w:ascii="Arial" w:eastAsiaTheme="minorEastAsia" w:hAnsiTheme="minorEastAsia" w:cs="Arial"/>
              </w:rPr>
              <w:t>本年比上年增减</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eastAsiaTheme="minorEastAsia" w:hAnsi="Arial" w:cs="Arial"/>
              </w:rPr>
            </w:pPr>
            <w:r w:rsidRPr="008B4DBD">
              <w:rPr>
                <w:rFonts w:ascii="Arial" w:eastAsiaTheme="minorEastAsia" w:hAnsi="Arial" w:cs="Arial"/>
              </w:rPr>
              <w:t>2022</w:t>
            </w:r>
            <w:r w:rsidRPr="008B4DBD">
              <w:rPr>
                <w:rFonts w:ascii="Arial" w:eastAsiaTheme="minorEastAsia" w:hAnsiTheme="minorEastAsia" w:cs="Arial"/>
              </w:rPr>
              <w:t>年</w:t>
            </w:r>
          </w:p>
        </w:tc>
      </w:tr>
      <w:tr w:rsidR="008B4DBD" w:rsidRPr="008B4DBD" w:rsidTr="008B4DBD">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eastAsiaTheme="minorEastAsia" w:hAnsi="Arial" w:cs="Arial"/>
              </w:rPr>
            </w:pPr>
            <w:r w:rsidRPr="008B4DBD">
              <w:rPr>
                <w:rFonts w:ascii="Arial" w:eastAsiaTheme="minorEastAsia" w:hAnsiTheme="minorEastAsia" w:cs="Arial"/>
              </w:rPr>
              <w:t>营业收入</w:t>
            </w:r>
          </w:p>
        </w:tc>
        <w:tc>
          <w:tcPr>
            <w:tcW w:w="184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1,705,674,597.38</w:t>
            </w:r>
          </w:p>
        </w:tc>
        <w:tc>
          <w:tcPr>
            <w:tcW w:w="1842"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1,705,661,552.14</w:t>
            </w:r>
          </w:p>
        </w:tc>
        <w:tc>
          <w:tcPr>
            <w:tcW w:w="193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0.00%</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1,409,189,859.25</w:t>
            </w:r>
          </w:p>
        </w:tc>
      </w:tr>
      <w:tr w:rsidR="008B4DBD" w:rsidRPr="008B4DBD" w:rsidTr="008B4DBD">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eastAsiaTheme="minorEastAsia" w:hAnsi="Arial" w:cs="Arial"/>
              </w:rPr>
            </w:pPr>
            <w:r w:rsidRPr="008B4DBD">
              <w:rPr>
                <w:rFonts w:ascii="Arial" w:eastAsiaTheme="minorEastAsia" w:hAnsiTheme="minorEastAsia" w:cs="Arial"/>
              </w:rPr>
              <w:t>归属于上市公司股东的净利润</w:t>
            </w:r>
          </w:p>
        </w:tc>
        <w:tc>
          <w:tcPr>
            <w:tcW w:w="184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68,398,464.80</w:t>
            </w:r>
          </w:p>
        </w:tc>
        <w:tc>
          <w:tcPr>
            <w:tcW w:w="1842"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64,122,164.69</w:t>
            </w:r>
          </w:p>
        </w:tc>
        <w:tc>
          <w:tcPr>
            <w:tcW w:w="193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6.67%</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60,256,234.47</w:t>
            </w:r>
          </w:p>
        </w:tc>
      </w:tr>
      <w:tr w:rsidR="008B4DBD" w:rsidRPr="008B4DBD" w:rsidTr="008B4DBD">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eastAsiaTheme="minorEastAsia" w:hAnsi="Arial" w:cs="Arial"/>
              </w:rPr>
            </w:pPr>
            <w:r w:rsidRPr="008B4DBD">
              <w:rPr>
                <w:rFonts w:ascii="Arial" w:eastAsiaTheme="minorEastAsia" w:hAnsiTheme="minorEastAsia" w:cs="Arial"/>
              </w:rPr>
              <w:t>归属于上市公司股东的扣除非经常性损益的净利润</w:t>
            </w:r>
          </w:p>
        </w:tc>
        <w:tc>
          <w:tcPr>
            <w:tcW w:w="184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58,068,168.67</w:t>
            </w:r>
          </w:p>
        </w:tc>
        <w:tc>
          <w:tcPr>
            <w:tcW w:w="1842"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50,097,430.75</w:t>
            </w:r>
          </w:p>
        </w:tc>
        <w:tc>
          <w:tcPr>
            <w:tcW w:w="193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15.91%</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53,292,502.97</w:t>
            </w:r>
          </w:p>
        </w:tc>
      </w:tr>
      <w:tr w:rsidR="008B4DBD" w:rsidRPr="008B4DBD" w:rsidTr="008B4DBD">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eastAsiaTheme="minorEastAsia" w:hAnsi="Arial" w:cs="Arial"/>
              </w:rPr>
            </w:pPr>
            <w:r w:rsidRPr="008B4DBD">
              <w:rPr>
                <w:rFonts w:ascii="Arial" w:eastAsiaTheme="minorEastAsia" w:hAnsiTheme="minorEastAsia" w:cs="Arial"/>
              </w:rPr>
              <w:t>经营活动产生的现金流量净额</w:t>
            </w:r>
          </w:p>
        </w:tc>
        <w:tc>
          <w:tcPr>
            <w:tcW w:w="184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302,865,233.07</w:t>
            </w:r>
          </w:p>
        </w:tc>
        <w:tc>
          <w:tcPr>
            <w:tcW w:w="1842"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23,468,257.04</w:t>
            </w:r>
          </w:p>
        </w:tc>
        <w:tc>
          <w:tcPr>
            <w:tcW w:w="193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1,190.53%</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45,664,819.62</w:t>
            </w:r>
          </w:p>
        </w:tc>
      </w:tr>
      <w:tr w:rsidR="008B4DBD" w:rsidRPr="008B4DBD" w:rsidTr="008B4DBD">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eastAsiaTheme="minorEastAsia" w:hAnsi="Arial" w:cs="Arial"/>
              </w:rPr>
            </w:pPr>
            <w:r w:rsidRPr="008B4DBD">
              <w:rPr>
                <w:rFonts w:ascii="Arial" w:eastAsiaTheme="minorEastAsia" w:hAnsiTheme="minorEastAsia" w:cs="Arial"/>
              </w:rPr>
              <w:t>基本每股收益（元</w:t>
            </w:r>
            <w:r w:rsidRPr="008B4DBD">
              <w:rPr>
                <w:rFonts w:ascii="Arial" w:eastAsiaTheme="minorEastAsia" w:hAnsi="Arial" w:cs="Arial"/>
              </w:rPr>
              <w:t>/</w:t>
            </w:r>
            <w:r w:rsidRPr="008B4DBD">
              <w:rPr>
                <w:rFonts w:ascii="Arial" w:eastAsiaTheme="minorEastAsia" w:hAnsiTheme="minorEastAsia" w:cs="Arial"/>
              </w:rPr>
              <w:t>股）</w:t>
            </w:r>
          </w:p>
        </w:tc>
        <w:tc>
          <w:tcPr>
            <w:tcW w:w="184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0.2808</w:t>
            </w:r>
          </w:p>
        </w:tc>
        <w:tc>
          <w:tcPr>
            <w:tcW w:w="1842"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0.2923</w:t>
            </w:r>
          </w:p>
        </w:tc>
        <w:tc>
          <w:tcPr>
            <w:tcW w:w="193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-3.93%</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0.2983</w:t>
            </w:r>
          </w:p>
        </w:tc>
      </w:tr>
      <w:tr w:rsidR="008B4DBD" w:rsidRPr="008B4DBD" w:rsidTr="008B4DBD">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eastAsiaTheme="minorEastAsia" w:hAnsi="Arial" w:cs="Arial"/>
              </w:rPr>
            </w:pPr>
            <w:r w:rsidRPr="008B4DBD">
              <w:rPr>
                <w:rFonts w:ascii="Arial" w:eastAsiaTheme="minorEastAsia" w:hAnsiTheme="minorEastAsia" w:cs="Arial"/>
              </w:rPr>
              <w:t>稀释每股收益（元</w:t>
            </w:r>
            <w:r w:rsidRPr="008B4DBD">
              <w:rPr>
                <w:rFonts w:ascii="Arial" w:eastAsiaTheme="minorEastAsia" w:hAnsi="Arial" w:cs="Arial"/>
              </w:rPr>
              <w:t>/</w:t>
            </w:r>
            <w:r w:rsidRPr="008B4DBD">
              <w:rPr>
                <w:rFonts w:ascii="Arial" w:eastAsiaTheme="minorEastAsia" w:hAnsiTheme="minorEastAsia" w:cs="Arial"/>
              </w:rPr>
              <w:t>股）</w:t>
            </w:r>
          </w:p>
        </w:tc>
        <w:tc>
          <w:tcPr>
            <w:tcW w:w="184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0.2807</w:t>
            </w:r>
          </w:p>
        </w:tc>
        <w:tc>
          <w:tcPr>
            <w:tcW w:w="1842"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0.2923</w:t>
            </w:r>
          </w:p>
        </w:tc>
        <w:tc>
          <w:tcPr>
            <w:tcW w:w="193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-3.97%</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0.2983</w:t>
            </w:r>
          </w:p>
        </w:tc>
      </w:tr>
      <w:tr w:rsidR="008B4DBD" w:rsidRPr="008B4DBD" w:rsidTr="008B4DBD">
        <w:trPr>
          <w:trHeight w:val="369"/>
        </w:trPr>
        <w:tc>
          <w:tcPr>
            <w:tcW w:w="2093"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eastAsiaTheme="minorEastAsia" w:hAnsi="Arial" w:cs="Arial"/>
              </w:rPr>
            </w:pPr>
            <w:r w:rsidRPr="008B4DBD">
              <w:rPr>
                <w:rFonts w:ascii="Arial" w:eastAsiaTheme="minorEastAsia" w:hAnsiTheme="minorEastAsia" w:cs="Arial"/>
              </w:rPr>
              <w:t>加权平均净资产收益率</w:t>
            </w:r>
          </w:p>
        </w:tc>
        <w:tc>
          <w:tcPr>
            <w:tcW w:w="184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4.75%</w:t>
            </w:r>
          </w:p>
        </w:tc>
        <w:tc>
          <w:tcPr>
            <w:tcW w:w="1842"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6.55%</w:t>
            </w:r>
          </w:p>
        </w:tc>
        <w:tc>
          <w:tcPr>
            <w:tcW w:w="1933"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-1.80%</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9.27%</w:t>
            </w:r>
          </w:p>
        </w:tc>
      </w:tr>
    </w:tbl>
    <w:p w:rsidR="00A657C2" w:rsidRDefault="00A657C2" w:rsidP="00A657C2">
      <w:pPr>
        <w:pStyle w:val="Section"/>
        <w:keepNext w:val="0"/>
        <w:keepLines w:val="0"/>
        <w:spacing w:before="40" w:after="40" w:line="360" w:lineRule="auto"/>
        <w:outlineLvl w:val="3"/>
        <w:rPr>
          <w:rFonts w:ascii="Arial" w:hAnsi="Arial" w:cs="Arial"/>
          <w:bCs w:val="0"/>
          <w:szCs w:val="24"/>
        </w:rPr>
      </w:pPr>
      <w:r w:rsidRPr="00090FC7">
        <w:rPr>
          <w:rFonts w:ascii="Arial" w:hAnsi="Arial" w:cs="Arial" w:hint="eastAsia"/>
          <w:bCs w:val="0"/>
          <w:szCs w:val="24"/>
        </w:rPr>
        <w:t>（</w:t>
      </w:r>
      <w:r w:rsidRPr="00090FC7">
        <w:rPr>
          <w:rFonts w:ascii="Arial" w:hAnsi="Arial" w:cs="Arial"/>
          <w:bCs w:val="0"/>
          <w:szCs w:val="24"/>
        </w:rPr>
        <w:t>2</w:t>
      </w:r>
      <w:r w:rsidRPr="00090FC7">
        <w:rPr>
          <w:rFonts w:ascii="Arial" w:hAnsi="Arial" w:cs="Arial" w:hint="eastAsia"/>
          <w:bCs w:val="0"/>
          <w:szCs w:val="24"/>
        </w:rPr>
        <w:t>）分季度主要会计数据</w:t>
      </w:r>
    </w:p>
    <w:p w:rsidR="00E55F57" w:rsidRDefault="00E55F57" w:rsidP="00E55F57">
      <w:pPr>
        <w:spacing w:after="0"/>
        <w:jc w:val="right"/>
      </w:pPr>
      <w:r>
        <w:rPr>
          <w:rFonts w:hint="eastAsia"/>
        </w:rPr>
        <w:t>单位：元</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firstRow="0" w:lastRow="0" w:firstColumn="0" w:lastColumn="0" w:noHBand="0" w:noVBand="0"/>
      </w:tblPr>
      <w:tblGrid>
        <w:gridCol w:w="1927"/>
        <w:gridCol w:w="1928"/>
        <w:gridCol w:w="1928"/>
        <w:gridCol w:w="1928"/>
        <w:gridCol w:w="1928"/>
      </w:tblGrid>
      <w:tr w:rsidR="008B4DBD" w:rsidTr="008B4DBD">
        <w:trPr>
          <w:trHeight w:val="369"/>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rPr>
                <w:rFonts w:ascii="Arial" w:hAnsi="Arial" w:cs="Arial"/>
              </w:rPr>
            </w:pP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hAnsi="Arial" w:cs="Arial"/>
              </w:rPr>
            </w:pPr>
            <w:r w:rsidRPr="008B4DBD">
              <w:rPr>
                <w:rFonts w:ascii="Arial" w:hAnsi="宋体" w:cs="Arial"/>
              </w:rPr>
              <w:t>第一季度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hAnsi="Arial" w:cs="Arial"/>
              </w:rPr>
            </w:pPr>
            <w:r w:rsidRPr="008B4DBD">
              <w:rPr>
                <w:rFonts w:ascii="Arial" w:hAnsi="宋体" w:cs="Arial"/>
              </w:rPr>
              <w:t>第二季度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hAnsi="Arial" w:cs="Arial"/>
              </w:rPr>
            </w:pPr>
            <w:r w:rsidRPr="008B4DBD">
              <w:rPr>
                <w:rFonts w:ascii="Arial" w:hAnsi="宋体" w:cs="Arial"/>
              </w:rPr>
              <w:t>第三季度</w:t>
            </w:r>
          </w:p>
        </w:tc>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jc w:val="center"/>
              <w:rPr>
                <w:rFonts w:ascii="Arial" w:hAnsi="Arial" w:cs="Arial"/>
              </w:rPr>
            </w:pPr>
            <w:r w:rsidRPr="008B4DBD">
              <w:rPr>
                <w:rFonts w:ascii="Arial" w:hAnsi="宋体" w:cs="Arial"/>
              </w:rPr>
              <w:t>第四季度</w:t>
            </w:r>
          </w:p>
        </w:tc>
      </w:tr>
      <w:tr w:rsidR="008B4DBD" w:rsidTr="008B4DBD">
        <w:trPr>
          <w:trHeight w:val="369"/>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hAnsi="Arial" w:cs="Arial"/>
              </w:rPr>
            </w:pPr>
            <w:r w:rsidRPr="008B4DBD">
              <w:rPr>
                <w:rFonts w:ascii="Arial" w:hAnsi="宋体" w:cs="Arial"/>
              </w:rPr>
              <w:t>营业收入</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467,402,812.91</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448,808,861.99</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394,369,530.28</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395,093,392.20</w:t>
            </w:r>
          </w:p>
        </w:tc>
      </w:tr>
      <w:tr w:rsidR="008B4DBD" w:rsidTr="008B4DBD">
        <w:trPr>
          <w:trHeight w:val="369"/>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hAnsi="Arial" w:cs="Arial"/>
              </w:rPr>
            </w:pPr>
            <w:r w:rsidRPr="008B4DBD">
              <w:rPr>
                <w:rFonts w:ascii="Arial" w:hAnsi="宋体" w:cs="Arial"/>
              </w:rPr>
              <w:t>归属于上市公司股东的净利润</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18,382,973.70</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19,726,880.43</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20,155,249.62</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10,133,361.05</w:t>
            </w:r>
          </w:p>
        </w:tc>
      </w:tr>
      <w:tr w:rsidR="008B4DBD" w:rsidTr="008B4DBD">
        <w:trPr>
          <w:trHeight w:val="369"/>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hAnsi="Arial" w:cs="Arial"/>
              </w:rPr>
            </w:pPr>
            <w:r w:rsidRPr="008B4DBD">
              <w:rPr>
                <w:rFonts w:ascii="Arial" w:hAnsi="宋体" w:cs="Arial"/>
              </w:rPr>
              <w:t>归属于上市公司股东的扣除非经常性损益的净利润</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17,714,050.19</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15,355,121.97</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19,479,897.66</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5,519,098.85</w:t>
            </w:r>
          </w:p>
        </w:tc>
      </w:tr>
      <w:tr w:rsidR="008B4DBD" w:rsidTr="008B4DBD">
        <w:trPr>
          <w:trHeight w:val="369"/>
        </w:trPr>
        <w:tc>
          <w:tcPr>
            <w:tcW w:w="1928" w:type="dxa"/>
            <w:tcBorders>
              <w:top w:val="single" w:sz="2" w:space="0" w:color="auto"/>
              <w:left w:val="single" w:sz="2" w:space="0" w:color="auto"/>
              <w:bottom w:val="single" w:sz="2" w:space="0" w:color="auto"/>
              <w:right w:val="single" w:sz="2" w:space="0" w:color="auto"/>
            </w:tcBorders>
            <w:shd w:val="clear" w:color="auto" w:fill="D3D3D3"/>
            <w:vAlign w:val="center"/>
          </w:tcPr>
          <w:p w:rsidR="008B4DBD" w:rsidRPr="008B4DBD" w:rsidRDefault="008B4DBD" w:rsidP="008B4DBD">
            <w:pPr>
              <w:spacing w:line="240" w:lineRule="exact"/>
              <w:rPr>
                <w:rFonts w:ascii="Arial" w:hAnsi="Arial" w:cs="Arial"/>
              </w:rPr>
            </w:pPr>
            <w:r w:rsidRPr="008B4DBD">
              <w:rPr>
                <w:rFonts w:ascii="Arial" w:hAnsi="宋体" w:cs="Arial"/>
              </w:rPr>
              <w:t>经营活动产生的现金流量净额</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3,828,502.53</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190,635,538.27</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37,657,563.00</w:t>
            </w:r>
          </w:p>
        </w:tc>
        <w:tc>
          <w:tcPr>
            <w:tcW w:w="1928" w:type="dxa"/>
            <w:tcBorders>
              <w:top w:val="single" w:sz="2" w:space="0" w:color="auto"/>
              <w:left w:val="single" w:sz="2" w:space="0" w:color="auto"/>
              <w:bottom w:val="single" w:sz="2" w:space="0" w:color="auto"/>
              <w:right w:val="single" w:sz="2" w:space="0" w:color="auto"/>
            </w:tcBorders>
            <w:vAlign w:val="center"/>
          </w:tcPr>
          <w:p w:rsidR="008B4DBD" w:rsidRPr="008B4DBD" w:rsidRDefault="008B4DBD" w:rsidP="008B4DBD">
            <w:pPr>
              <w:spacing w:line="240" w:lineRule="exact"/>
              <w:jc w:val="right"/>
              <w:rPr>
                <w:rFonts w:ascii="Arial" w:hAnsi="Arial" w:cs="Arial"/>
              </w:rPr>
            </w:pPr>
            <w:r w:rsidRPr="008B4DBD">
              <w:rPr>
                <w:rFonts w:ascii="Arial" w:hAnsi="Arial" w:cs="Arial"/>
              </w:rPr>
              <w:t>70,743,629.27</w:t>
            </w:r>
          </w:p>
        </w:tc>
      </w:tr>
    </w:tbl>
    <w:p w:rsidR="00A657C2" w:rsidRPr="00090FC7" w:rsidRDefault="00A657C2" w:rsidP="00A657C2">
      <w:pPr>
        <w:spacing w:line="360" w:lineRule="auto"/>
        <w:jc w:val="left"/>
        <w:rPr>
          <w:rFonts w:ascii="Arial" w:hAnsi="Arial" w:cs="Arial"/>
          <w:sz w:val="21"/>
          <w:szCs w:val="21"/>
        </w:rPr>
      </w:pPr>
      <w:r w:rsidRPr="00090FC7">
        <w:rPr>
          <w:rFonts w:ascii="Arial" w:hAnsi="Arial" w:cs="Arial" w:hint="eastAsia"/>
          <w:sz w:val="21"/>
          <w:szCs w:val="21"/>
        </w:rPr>
        <w:t>上述财务指标或其加总数是否与公司已披露季度报告、半年度报告相关财务指标存在重大差异</w:t>
      </w:r>
    </w:p>
    <w:p w:rsidR="00326086" w:rsidRPr="00207922" w:rsidRDefault="00326086" w:rsidP="00326086">
      <w:pPr>
        <w:spacing w:line="360" w:lineRule="auto"/>
        <w:rPr>
          <w:rFonts w:ascii="宋体" w:hAnsi="宋体" w:cs="宋体"/>
          <w:sz w:val="21"/>
          <w:szCs w:val="21"/>
        </w:rPr>
      </w:pPr>
      <w:r w:rsidRPr="00207922">
        <w:rPr>
          <w:rFonts w:ascii="宋体" w:hAnsi="宋体" w:cs="宋体"/>
          <w:sz w:val="21"/>
          <w:szCs w:val="21"/>
        </w:rPr>
        <w:t>□</w:t>
      </w:r>
      <w:r>
        <w:rPr>
          <w:rFonts w:ascii="宋体" w:hAnsi="宋体" w:cs="宋体"/>
          <w:sz w:val="21"/>
          <w:szCs w:val="21"/>
        </w:rPr>
        <w:t>是</w:t>
      </w:r>
      <w:r w:rsidR="008B4DBD">
        <w:rPr>
          <w:rFonts w:ascii="宋体" w:hAnsi="宋体" w:cs="宋体" w:hint="eastAsia"/>
          <w:sz w:val="21"/>
          <w:szCs w:val="21"/>
        </w:rPr>
        <w:t xml:space="preserve"> </w:t>
      </w:r>
      <w:r w:rsidRPr="00207922">
        <w:rPr>
          <w:rFonts w:ascii="宋体" w:hAnsi="宋体" w:cs="宋体"/>
          <w:sz w:val="21"/>
          <w:szCs w:val="21"/>
        </w:rPr>
        <w:sym w:font="Wingdings 2" w:char="F052"/>
      </w:r>
      <w:r>
        <w:rPr>
          <w:rFonts w:ascii="宋体" w:hAnsi="宋体" w:cs="宋体" w:hint="eastAsia"/>
          <w:sz w:val="21"/>
          <w:szCs w:val="21"/>
        </w:rPr>
        <w:t>否</w:t>
      </w:r>
    </w:p>
    <w:p w:rsidR="00A657C2" w:rsidRPr="00090FC7" w:rsidRDefault="00A657C2" w:rsidP="00A657C2">
      <w:pPr>
        <w:spacing w:before="120" w:line="360" w:lineRule="auto"/>
        <w:outlineLvl w:val="2"/>
        <w:rPr>
          <w:rFonts w:ascii="Arial" w:hAnsi="Arial" w:cs="Arial"/>
          <w:b/>
          <w:sz w:val="21"/>
          <w:szCs w:val="21"/>
        </w:rPr>
      </w:pPr>
      <w:r w:rsidRPr="00090FC7">
        <w:rPr>
          <w:rFonts w:ascii="Arial" w:hAnsi="Arial" w:cs="Arial"/>
          <w:b/>
          <w:sz w:val="21"/>
          <w:szCs w:val="21"/>
        </w:rPr>
        <w:t>4</w:t>
      </w:r>
      <w:r w:rsidRPr="00090FC7">
        <w:rPr>
          <w:rFonts w:ascii="Arial" w:hAnsi="Arial" w:cs="Arial" w:hint="eastAsia"/>
          <w:b/>
          <w:sz w:val="21"/>
          <w:szCs w:val="21"/>
        </w:rPr>
        <w:t>、股本及股东情况</w:t>
      </w:r>
    </w:p>
    <w:p w:rsidR="00A657C2" w:rsidRPr="00090FC7" w:rsidRDefault="00A657C2" w:rsidP="00A657C2">
      <w:pPr>
        <w:pStyle w:val="Section"/>
        <w:keepNext w:val="0"/>
        <w:keepLines w:val="0"/>
        <w:spacing w:before="40" w:after="40" w:line="360" w:lineRule="auto"/>
        <w:outlineLvl w:val="3"/>
        <w:rPr>
          <w:rFonts w:ascii="Arial" w:hAnsi="Arial" w:cs="Arial"/>
          <w:bCs w:val="0"/>
          <w:szCs w:val="24"/>
        </w:rPr>
      </w:pPr>
      <w:r w:rsidRPr="00090FC7">
        <w:rPr>
          <w:rFonts w:ascii="Arial" w:hAnsi="Arial" w:cs="Arial" w:hint="eastAsia"/>
          <w:bCs w:val="0"/>
          <w:szCs w:val="24"/>
        </w:rPr>
        <w:t>（</w:t>
      </w:r>
      <w:r w:rsidRPr="00090FC7">
        <w:rPr>
          <w:rFonts w:ascii="Arial" w:hAnsi="Arial" w:cs="Arial"/>
          <w:bCs w:val="0"/>
          <w:szCs w:val="24"/>
        </w:rPr>
        <w:t>1</w:t>
      </w:r>
      <w:r w:rsidRPr="00090FC7">
        <w:rPr>
          <w:rFonts w:ascii="Arial" w:hAnsi="Arial" w:cs="Arial" w:hint="eastAsia"/>
          <w:bCs w:val="0"/>
          <w:szCs w:val="24"/>
        </w:rPr>
        <w:t>）普通股股东和表决权恢复的优先股股东数量及前</w:t>
      </w:r>
      <w:r w:rsidRPr="00090FC7">
        <w:rPr>
          <w:rFonts w:ascii="Arial" w:hAnsi="Arial" w:cs="Arial"/>
          <w:bCs w:val="0"/>
          <w:szCs w:val="24"/>
        </w:rPr>
        <w:t>10</w:t>
      </w:r>
      <w:r w:rsidRPr="00090FC7">
        <w:rPr>
          <w:rFonts w:ascii="Arial" w:hAnsi="Arial" w:cs="Arial" w:hint="eastAsia"/>
          <w:bCs w:val="0"/>
          <w:szCs w:val="24"/>
        </w:rPr>
        <w:t>名股东持股情况表</w:t>
      </w:r>
    </w:p>
    <w:p w:rsidR="00A657C2" w:rsidRDefault="00A657C2" w:rsidP="00A657C2">
      <w:pPr>
        <w:jc w:val="right"/>
        <w:rPr>
          <w:rFonts w:ascii="Arial" w:hAnsi="Arial" w:cs="Arial"/>
          <w:szCs w:val="24"/>
        </w:rPr>
      </w:pPr>
      <w:r w:rsidRPr="00090FC7">
        <w:rPr>
          <w:rFonts w:ascii="Arial" w:hAnsi="Arial" w:cs="Arial" w:hint="eastAsia"/>
          <w:szCs w:val="24"/>
        </w:rPr>
        <w:t>单位：股</w:t>
      </w:r>
    </w:p>
    <w:tbl>
      <w:tblPr>
        <w:tblW w:w="963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75"/>
        <w:gridCol w:w="651"/>
        <w:gridCol w:w="225"/>
        <w:gridCol w:w="876"/>
        <w:gridCol w:w="316"/>
        <w:gridCol w:w="560"/>
        <w:gridCol w:w="574"/>
        <w:gridCol w:w="303"/>
        <w:gridCol w:w="876"/>
        <w:gridCol w:w="381"/>
        <w:gridCol w:w="1372"/>
        <w:gridCol w:w="45"/>
        <w:gridCol w:w="832"/>
        <w:gridCol w:w="302"/>
        <w:gridCol w:w="574"/>
        <w:gridCol w:w="877"/>
      </w:tblGrid>
      <w:tr w:rsidR="00A43DB8" w:rsidRPr="008B4DBD" w:rsidTr="008B4DBD">
        <w:trPr>
          <w:trHeight w:val="369"/>
        </w:trPr>
        <w:tc>
          <w:tcPr>
            <w:tcW w:w="875" w:type="dxa"/>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spacing w:line="240" w:lineRule="exact"/>
              <w:rPr>
                <w:rFonts w:ascii="Arial" w:eastAsiaTheme="minorEastAsia" w:hAnsi="Arial" w:cs="Arial"/>
              </w:rPr>
            </w:pPr>
            <w:r w:rsidRPr="008B4DBD">
              <w:rPr>
                <w:rFonts w:ascii="Arial" w:eastAsiaTheme="minorEastAsia" w:hAnsiTheme="minorEastAsia" w:cs="Arial"/>
              </w:rPr>
              <w:t>报告期末普通股股东总数</w:t>
            </w:r>
          </w:p>
        </w:tc>
        <w:tc>
          <w:tcPr>
            <w:tcW w:w="876" w:type="dxa"/>
            <w:gridSpan w:val="2"/>
            <w:tcBorders>
              <w:top w:val="single" w:sz="2" w:space="0" w:color="auto"/>
              <w:left w:val="single" w:sz="2" w:space="0" w:color="auto"/>
              <w:bottom w:val="single" w:sz="2" w:space="0" w:color="auto"/>
              <w:right w:val="single" w:sz="2" w:space="0" w:color="auto"/>
            </w:tcBorders>
            <w:vAlign w:val="center"/>
          </w:tcPr>
          <w:p w:rsidR="00A43DB8" w:rsidRPr="008B4DBD" w:rsidRDefault="008B4DBD" w:rsidP="008B4DBD">
            <w:pPr>
              <w:spacing w:line="240" w:lineRule="exact"/>
              <w:jc w:val="right"/>
              <w:rPr>
                <w:rFonts w:ascii="Arial" w:eastAsiaTheme="minorEastAsia" w:hAnsi="Arial" w:cs="Arial"/>
              </w:rPr>
            </w:pPr>
            <w:r w:rsidRPr="008B4DBD">
              <w:rPr>
                <w:rFonts w:ascii="Arial" w:eastAsiaTheme="minorEastAsia" w:hAnsi="Arial" w:cs="Arial"/>
              </w:rPr>
              <w:t>19,514</w:t>
            </w:r>
          </w:p>
        </w:tc>
        <w:tc>
          <w:tcPr>
            <w:tcW w:w="876" w:type="dxa"/>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326139">
            <w:pPr>
              <w:spacing w:before="0" w:after="0" w:line="240" w:lineRule="exact"/>
              <w:rPr>
                <w:rFonts w:ascii="Arial" w:eastAsiaTheme="minorEastAsia" w:hAnsi="Arial" w:cs="Arial"/>
              </w:rPr>
            </w:pPr>
            <w:r w:rsidRPr="008B4DBD">
              <w:rPr>
                <w:rFonts w:ascii="Arial" w:eastAsiaTheme="minorEastAsia" w:hAnsiTheme="minorEastAsia" w:cs="Arial"/>
              </w:rPr>
              <w:t>年度报告披露日前一个月末普通股股东总数</w:t>
            </w:r>
          </w:p>
        </w:tc>
        <w:tc>
          <w:tcPr>
            <w:tcW w:w="876" w:type="dxa"/>
            <w:gridSpan w:val="2"/>
            <w:tcBorders>
              <w:top w:val="single" w:sz="2" w:space="0" w:color="auto"/>
              <w:left w:val="single" w:sz="2" w:space="0" w:color="auto"/>
              <w:bottom w:val="single" w:sz="2" w:space="0" w:color="auto"/>
              <w:right w:val="single" w:sz="2" w:space="0" w:color="auto"/>
            </w:tcBorders>
            <w:vAlign w:val="center"/>
          </w:tcPr>
          <w:p w:rsidR="00A43DB8" w:rsidRPr="008B4DBD" w:rsidRDefault="0088573D" w:rsidP="00326139">
            <w:pPr>
              <w:spacing w:before="0" w:after="0" w:line="240" w:lineRule="exact"/>
              <w:jc w:val="right"/>
              <w:rPr>
                <w:rFonts w:ascii="Arial" w:eastAsiaTheme="minorEastAsia" w:hAnsi="Arial" w:cs="Arial"/>
              </w:rPr>
            </w:pPr>
            <w:r w:rsidRPr="0088573D">
              <w:rPr>
                <w:rFonts w:ascii="Arial" w:eastAsiaTheme="minorEastAsia" w:hAnsi="Arial" w:cs="Arial"/>
              </w:rPr>
              <w:t>26,946</w:t>
            </w:r>
          </w:p>
        </w:tc>
        <w:tc>
          <w:tcPr>
            <w:tcW w:w="877"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326139">
            <w:pPr>
              <w:spacing w:before="0" w:after="0" w:line="240" w:lineRule="exact"/>
              <w:rPr>
                <w:rFonts w:ascii="Arial" w:eastAsiaTheme="minorEastAsia" w:hAnsi="Arial" w:cs="Arial"/>
              </w:rPr>
            </w:pPr>
            <w:r w:rsidRPr="008B4DBD">
              <w:rPr>
                <w:rFonts w:ascii="Arial" w:eastAsiaTheme="minorEastAsia" w:hAnsiTheme="minorEastAsia" w:cs="Arial"/>
              </w:rPr>
              <w:t>报告期末表决权恢复的优先股股东总数</w:t>
            </w:r>
          </w:p>
        </w:tc>
        <w:tc>
          <w:tcPr>
            <w:tcW w:w="876" w:type="dxa"/>
            <w:tcBorders>
              <w:top w:val="single" w:sz="2" w:space="0" w:color="auto"/>
              <w:left w:val="single" w:sz="2" w:space="0" w:color="auto"/>
              <w:bottom w:val="single" w:sz="2" w:space="0" w:color="auto"/>
              <w:right w:val="single" w:sz="2" w:space="0" w:color="auto"/>
            </w:tcBorders>
            <w:vAlign w:val="center"/>
          </w:tcPr>
          <w:p w:rsidR="00A43DB8" w:rsidRPr="008B4DBD" w:rsidRDefault="00A43DB8" w:rsidP="00326139">
            <w:pPr>
              <w:spacing w:before="0" w:after="0" w:line="240" w:lineRule="exact"/>
              <w:jc w:val="right"/>
              <w:rPr>
                <w:rFonts w:ascii="Arial" w:eastAsiaTheme="minorEastAsia" w:hAnsi="Arial" w:cs="Arial"/>
              </w:rPr>
            </w:pPr>
            <w:r w:rsidRPr="008B4DBD">
              <w:rPr>
                <w:rFonts w:ascii="Arial" w:eastAsiaTheme="minorEastAsia" w:hAnsi="Arial" w:cs="Arial"/>
              </w:rPr>
              <w:t>0</w:t>
            </w:r>
          </w:p>
        </w:tc>
        <w:tc>
          <w:tcPr>
            <w:tcW w:w="1753"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326139">
            <w:pPr>
              <w:spacing w:before="0" w:after="0" w:line="240" w:lineRule="exact"/>
              <w:rPr>
                <w:rFonts w:ascii="Arial" w:eastAsiaTheme="minorEastAsia" w:hAnsi="Arial" w:cs="Arial"/>
              </w:rPr>
            </w:pPr>
            <w:r w:rsidRPr="008B4DBD">
              <w:rPr>
                <w:rFonts w:ascii="Arial" w:eastAsiaTheme="minorEastAsia" w:hAnsiTheme="minorEastAsia" w:cs="Arial"/>
              </w:rPr>
              <w:t>年度报告披露日前一个月末表决权恢复的优先股股东总数</w:t>
            </w:r>
          </w:p>
        </w:tc>
        <w:tc>
          <w:tcPr>
            <w:tcW w:w="877" w:type="dxa"/>
            <w:gridSpan w:val="2"/>
            <w:tcBorders>
              <w:top w:val="single" w:sz="2" w:space="0" w:color="auto"/>
              <w:left w:val="single" w:sz="2" w:space="0" w:color="auto"/>
              <w:bottom w:val="single" w:sz="2" w:space="0" w:color="auto"/>
              <w:right w:val="single" w:sz="2" w:space="0" w:color="auto"/>
            </w:tcBorders>
            <w:vAlign w:val="center"/>
          </w:tcPr>
          <w:p w:rsidR="00A43DB8" w:rsidRPr="008B4DBD" w:rsidRDefault="00A43DB8" w:rsidP="00326139">
            <w:pPr>
              <w:spacing w:before="0" w:after="0" w:line="240" w:lineRule="exact"/>
              <w:jc w:val="right"/>
              <w:rPr>
                <w:rFonts w:ascii="Arial" w:eastAsiaTheme="minorEastAsia" w:hAnsi="Arial" w:cs="Arial"/>
              </w:rPr>
            </w:pPr>
            <w:r w:rsidRPr="008B4DBD">
              <w:rPr>
                <w:rFonts w:ascii="Arial" w:eastAsiaTheme="minorEastAsia" w:hAnsi="Arial" w:cs="Arial"/>
              </w:rPr>
              <w:t>0</w:t>
            </w:r>
          </w:p>
        </w:tc>
        <w:tc>
          <w:tcPr>
            <w:tcW w:w="876"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326139">
            <w:pPr>
              <w:spacing w:before="0" w:after="0" w:line="240" w:lineRule="exact"/>
              <w:rPr>
                <w:rFonts w:ascii="Arial" w:eastAsiaTheme="minorEastAsia" w:hAnsi="Arial" w:cs="Arial"/>
              </w:rPr>
            </w:pPr>
            <w:r w:rsidRPr="008B4DBD">
              <w:rPr>
                <w:rFonts w:ascii="Arial" w:eastAsiaTheme="minorEastAsia" w:hAnsiTheme="minorEastAsia" w:cs="Arial"/>
              </w:rPr>
              <w:t>持有特别表决权股份的股东总数（如有）</w:t>
            </w:r>
          </w:p>
        </w:tc>
        <w:tc>
          <w:tcPr>
            <w:tcW w:w="877" w:type="dxa"/>
            <w:tcBorders>
              <w:top w:val="single" w:sz="2" w:space="0" w:color="auto"/>
              <w:left w:val="single" w:sz="2" w:space="0" w:color="auto"/>
              <w:bottom w:val="single" w:sz="2" w:space="0" w:color="auto"/>
              <w:right w:val="single" w:sz="2" w:space="0" w:color="auto"/>
            </w:tcBorders>
            <w:vAlign w:val="center"/>
          </w:tcPr>
          <w:p w:rsidR="00A43DB8" w:rsidRPr="008B4DBD" w:rsidRDefault="00A43DB8" w:rsidP="008B4DBD">
            <w:pPr>
              <w:spacing w:line="240" w:lineRule="exact"/>
              <w:jc w:val="right"/>
              <w:rPr>
                <w:rFonts w:ascii="Arial" w:eastAsiaTheme="minorEastAsia" w:hAnsi="Arial" w:cs="Arial"/>
              </w:rPr>
            </w:pPr>
            <w:r w:rsidRPr="008B4DBD">
              <w:rPr>
                <w:rFonts w:ascii="Arial" w:eastAsiaTheme="minorEastAsia" w:hAnsi="Arial" w:cs="Arial"/>
              </w:rPr>
              <w:t>0</w:t>
            </w:r>
          </w:p>
        </w:tc>
        <w:bookmarkStart w:id="3" w:name="_GoBack"/>
        <w:bookmarkEnd w:id="3"/>
      </w:tr>
      <w:tr w:rsidR="00A43DB8" w:rsidRPr="008B4DBD" w:rsidTr="008B4DBD">
        <w:trPr>
          <w:trHeight w:val="369"/>
        </w:trPr>
        <w:tc>
          <w:tcPr>
            <w:tcW w:w="9639" w:type="dxa"/>
            <w:gridSpan w:val="16"/>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spacing w:line="240" w:lineRule="exact"/>
              <w:jc w:val="center"/>
              <w:rPr>
                <w:rFonts w:ascii="Arial" w:eastAsiaTheme="minorEastAsia" w:hAnsi="Arial" w:cs="Arial"/>
              </w:rPr>
            </w:pPr>
            <w:r w:rsidRPr="008B4DBD">
              <w:rPr>
                <w:rFonts w:ascii="Arial" w:eastAsiaTheme="minorEastAsia" w:hAnsiTheme="minorEastAsia" w:cs="Arial"/>
              </w:rPr>
              <w:t>前</w:t>
            </w:r>
            <w:r w:rsidRPr="008B4DBD">
              <w:rPr>
                <w:rFonts w:ascii="Arial" w:eastAsiaTheme="minorEastAsia" w:hAnsi="Arial" w:cs="Arial"/>
              </w:rPr>
              <w:t>10</w:t>
            </w:r>
            <w:r w:rsidRPr="008B4DBD">
              <w:rPr>
                <w:rFonts w:ascii="Arial" w:eastAsiaTheme="minorEastAsia" w:hAnsiTheme="minorEastAsia" w:cs="Arial"/>
              </w:rPr>
              <w:t>名股东持股情况</w:t>
            </w:r>
            <w:r w:rsidR="00854714" w:rsidRPr="008B4DBD">
              <w:rPr>
                <w:rFonts w:ascii="Arial" w:eastAsiaTheme="minorEastAsia" w:hAnsiTheme="minorEastAsia" w:cs="Arial"/>
              </w:rPr>
              <w:t>（不含通过转融通出借股份）</w:t>
            </w:r>
          </w:p>
        </w:tc>
      </w:tr>
      <w:tr w:rsidR="00A43DB8" w:rsidRPr="008B4DBD" w:rsidTr="00A43DB8">
        <w:trPr>
          <w:trHeight w:val="369"/>
        </w:trPr>
        <w:tc>
          <w:tcPr>
            <w:tcW w:w="1526"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spacing w:line="240" w:lineRule="exact"/>
              <w:jc w:val="center"/>
              <w:rPr>
                <w:rFonts w:ascii="Arial" w:eastAsiaTheme="minorEastAsia" w:hAnsi="Arial" w:cs="Arial"/>
              </w:rPr>
            </w:pPr>
            <w:r w:rsidRPr="008B4DBD">
              <w:rPr>
                <w:rFonts w:ascii="Arial" w:eastAsiaTheme="minorEastAsia" w:hAnsiTheme="minorEastAsia" w:cs="Arial"/>
              </w:rPr>
              <w:t>股东名称</w:t>
            </w:r>
          </w:p>
        </w:tc>
        <w:tc>
          <w:tcPr>
            <w:tcW w:w="1417" w:type="dxa"/>
            <w:gridSpan w:val="3"/>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spacing w:line="240" w:lineRule="exact"/>
              <w:jc w:val="center"/>
              <w:rPr>
                <w:rFonts w:ascii="Arial" w:eastAsiaTheme="minorEastAsia" w:hAnsi="Arial" w:cs="Arial"/>
              </w:rPr>
            </w:pPr>
            <w:r w:rsidRPr="008B4DBD">
              <w:rPr>
                <w:rFonts w:ascii="Arial" w:eastAsiaTheme="minorEastAsia" w:hAnsiTheme="minorEastAsia" w:cs="Arial"/>
              </w:rPr>
              <w:t>股东性质</w:t>
            </w:r>
          </w:p>
        </w:tc>
        <w:tc>
          <w:tcPr>
            <w:tcW w:w="1134"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spacing w:line="240" w:lineRule="exact"/>
              <w:jc w:val="center"/>
              <w:rPr>
                <w:rFonts w:ascii="Arial" w:eastAsiaTheme="minorEastAsia" w:hAnsi="Arial" w:cs="Arial"/>
              </w:rPr>
            </w:pPr>
            <w:r w:rsidRPr="008B4DBD">
              <w:rPr>
                <w:rFonts w:ascii="Arial" w:eastAsiaTheme="minorEastAsia" w:hAnsiTheme="minorEastAsia" w:cs="Arial"/>
              </w:rPr>
              <w:t>持股比例</w:t>
            </w:r>
          </w:p>
        </w:tc>
        <w:tc>
          <w:tcPr>
            <w:tcW w:w="1560" w:type="dxa"/>
            <w:gridSpan w:val="3"/>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spacing w:line="240" w:lineRule="exact"/>
              <w:jc w:val="center"/>
              <w:rPr>
                <w:rFonts w:ascii="Arial" w:eastAsiaTheme="minorEastAsia" w:hAnsi="Arial" w:cs="Arial"/>
              </w:rPr>
            </w:pPr>
            <w:r w:rsidRPr="008B4DBD">
              <w:rPr>
                <w:rFonts w:ascii="Arial" w:eastAsiaTheme="minorEastAsia" w:hAnsiTheme="minorEastAsia" w:cs="Arial"/>
              </w:rPr>
              <w:t>持股数量</w:t>
            </w:r>
          </w:p>
        </w:tc>
        <w:tc>
          <w:tcPr>
            <w:tcW w:w="1417" w:type="dxa"/>
            <w:gridSpan w:val="2"/>
            <w:vMerge w:val="restart"/>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spacing w:line="240" w:lineRule="exact"/>
              <w:jc w:val="center"/>
              <w:rPr>
                <w:rFonts w:ascii="Arial" w:eastAsiaTheme="minorEastAsia" w:hAnsi="Arial" w:cs="Arial"/>
              </w:rPr>
            </w:pPr>
            <w:r w:rsidRPr="008B4DBD">
              <w:rPr>
                <w:rFonts w:ascii="Arial" w:eastAsiaTheme="minorEastAsia" w:hAnsiTheme="minorEastAsia" w:cs="Arial"/>
              </w:rPr>
              <w:t>持有有限售条件的股份数量</w:t>
            </w:r>
          </w:p>
        </w:tc>
        <w:tc>
          <w:tcPr>
            <w:tcW w:w="2585" w:type="dxa"/>
            <w:gridSpan w:val="4"/>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spacing w:line="240" w:lineRule="exact"/>
              <w:jc w:val="center"/>
              <w:rPr>
                <w:rFonts w:ascii="Arial" w:eastAsiaTheme="minorEastAsia" w:hAnsi="Arial" w:cs="Arial"/>
              </w:rPr>
            </w:pPr>
            <w:r w:rsidRPr="008B4DBD">
              <w:rPr>
                <w:rFonts w:ascii="Arial" w:eastAsiaTheme="minorEastAsia" w:hAnsiTheme="minorEastAsia" w:cs="Arial"/>
              </w:rPr>
              <w:t>质押、标记或冻结情况</w:t>
            </w:r>
          </w:p>
        </w:tc>
      </w:tr>
      <w:tr w:rsidR="00A43DB8" w:rsidRPr="008B4DBD" w:rsidTr="00A43DB8">
        <w:trPr>
          <w:trHeight w:val="369"/>
        </w:trPr>
        <w:tc>
          <w:tcPr>
            <w:tcW w:w="1526"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rPr>
                <w:rFonts w:ascii="Arial" w:eastAsiaTheme="minorEastAsia" w:hAnsi="Arial" w:cs="Arial"/>
              </w:rPr>
            </w:pPr>
          </w:p>
        </w:tc>
        <w:tc>
          <w:tcPr>
            <w:tcW w:w="1417" w:type="dxa"/>
            <w:gridSpan w:val="3"/>
            <w:vMerge/>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rPr>
                <w:rFonts w:ascii="Arial" w:eastAsiaTheme="minorEastAsia" w:hAnsi="Arial" w:cs="Arial"/>
              </w:rPr>
            </w:pPr>
          </w:p>
        </w:tc>
        <w:tc>
          <w:tcPr>
            <w:tcW w:w="1134"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rPr>
                <w:rFonts w:ascii="Arial" w:eastAsiaTheme="minorEastAsia" w:hAnsi="Arial" w:cs="Arial"/>
              </w:rPr>
            </w:pPr>
          </w:p>
        </w:tc>
        <w:tc>
          <w:tcPr>
            <w:tcW w:w="1560" w:type="dxa"/>
            <w:gridSpan w:val="3"/>
            <w:vMerge/>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rPr>
                <w:rFonts w:ascii="Arial" w:eastAsiaTheme="minorEastAsia" w:hAnsi="Arial" w:cs="Arial"/>
              </w:rPr>
            </w:pPr>
          </w:p>
        </w:tc>
        <w:tc>
          <w:tcPr>
            <w:tcW w:w="1417" w:type="dxa"/>
            <w:gridSpan w:val="2"/>
            <w:vMerge/>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rPr>
                <w:rFonts w:ascii="Arial" w:eastAsiaTheme="minorEastAsia" w:hAnsi="Arial" w:cs="Arial"/>
              </w:rPr>
            </w:pPr>
          </w:p>
        </w:tc>
        <w:tc>
          <w:tcPr>
            <w:tcW w:w="1134"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spacing w:line="240" w:lineRule="exact"/>
              <w:jc w:val="center"/>
              <w:rPr>
                <w:rFonts w:ascii="Arial" w:eastAsiaTheme="minorEastAsia" w:hAnsi="Arial" w:cs="Arial"/>
              </w:rPr>
            </w:pPr>
            <w:r w:rsidRPr="008B4DBD">
              <w:rPr>
                <w:rFonts w:ascii="Arial" w:eastAsiaTheme="minorEastAsia" w:hAnsiTheme="minorEastAsia" w:cs="Arial"/>
              </w:rPr>
              <w:t>股份状态</w:t>
            </w:r>
          </w:p>
        </w:tc>
        <w:tc>
          <w:tcPr>
            <w:tcW w:w="1451" w:type="dxa"/>
            <w:gridSpan w:val="2"/>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spacing w:line="240" w:lineRule="exact"/>
              <w:jc w:val="center"/>
              <w:rPr>
                <w:rFonts w:ascii="Arial" w:eastAsiaTheme="minorEastAsia" w:hAnsi="Arial" w:cs="Arial"/>
              </w:rPr>
            </w:pPr>
            <w:r w:rsidRPr="008B4DBD">
              <w:rPr>
                <w:rFonts w:ascii="Arial" w:eastAsiaTheme="minorEastAsia" w:hAnsiTheme="minorEastAsia" w:cs="Arial"/>
              </w:rPr>
              <w:t>数量</w:t>
            </w:r>
          </w:p>
        </w:tc>
      </w:tr>
      <w:tr w:rsidR="005174D8" w:rsidRPr="008B4DBD" w:rsidTr="005174D8">
        <w:trPr>
          <w:trHeight w:val="369"/>
        </w:trPr>
        <w:tc>
          <w:tcPr>
            <w:tcW w:w="1526"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宝钛集团有限公司</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国有法人</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47.70%</w:t>
            </w:r>
          </w:p>
        </w:tc>
        <w:tc>
          <w:tcPr>
            <w:tcW w:w="1560"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116,200,000.00</w:t>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Pr>
                <w:rFonts w:ascii="Arial" w:eastAsiaTheme="minorEastAsia" w:hAnsi="Arial" w:cs="Arial" w:hint="eastAsia"/>
              </w:rPr>
              <w:t>0</w:t>
            </w:r>
            <w:r>
              <w:rPr>
                <w:rFonts w:ascii="Arial" w:eastAsiaTheme="minorEastAsia" w:hAnsi="Arial" w:cs="Arial"/>
              </w:rPr>
              <w:t>.00</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center"/>
              <w:rPr>
                <w:rFonts w:ascii="Arial" w:eastAsiaTheme="minorEastAsia" w:hAnsi="Arial" w:cs="Arial"/>
              </w:rPr>
            </w:pPr>
            <w:r w:rsidRPr="008B4DBD">
              <w:rPr>
                <w:rFonts w:ascii="Arial" w:eastAsiaTheme="minorEastAsia" w:hAnsiTheme="minorEastAsia" w:cs="Arial"/>
              </w:rPr>
              <w:t>不适用</w:t>
            </w:r>
          </w:p>
        </w:tc>
        <w:tc>
          <w:tcPr>
            <w:tcW w:w="1451"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AC6502">
              <w:rPr>
                <w:rFonts w:ascii="Arial" w:eastAsiaTheme="minorEastAsia" w:hAnsi="Arial" w:cs="Arial" w:hint="eastAsia"/>
              </w:rPr>
              <w:t>0</w:t>
            </w:r>
            <w:r w:rsidRPr="00AC6502">
              <w:rPr>
                <w:rFonts w:ascii="Arial" w:eastAsiaTheme="minorEastAsia" w:hAnsi="Arial" w:cs="Arial"/>
              </w:rPr>
              <w:t>.00</w:t>
            </w:r>
          </w:p>
        </w:tc>
      </w:tr>
      <w:tr w:rsidR="005174D8" w:rsidRPr="008B4DBD" w:rsidTr="005174D8">
        <w:trPr>
          <w:trHeight w:val="369"/>
        </w:trPr>
        <w:tc>
          <w:tcPr>
            <w:tcW w:w="1526"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山西华鑫海贸易有限公司</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境内非国有法人</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6.48%</w:t>
            </w:r>
          </w:p>
        </w:tc>
        <w:tc>
          <w:tcPr>
            <w:tcW w:w="1560"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15,780,000.00</w:t>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EA291B">
              <w:rPr>
                <w:rFonts w:ascii="Arial" w:eastAsiaTheme="minorEastAsia" w:hAnsi="Arial" w:cs="Arial" w:hint="eastAsia"/>
              </w:rPr>
              <w:t>0</w:t>
            </w:r>
            <w:r w:rsidRPr="00EA291B">
              <w:rPr>
                <w:rFonts w:ascii="Arial" w:eastAsiaTheme="minorEastAsia" w:hAnsi="Arial" w:cs="Arial"/>
              </w:rPr>
              <w:t>.00</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center"/>
              <w:rPr>
                <w:rFonts w:ascii="Arial" w:eastAsiaTheme="minorEastAsia" w:hAnsi="Arial" w:cs="Arial"/>
              </w:rPr>
            </w:pPr>
            <w:r w:rsidRPr="008B4DBD">
              <w:rPr>
                <w:rFonts w:ascii="Arial" w:eastAsiaTheme="minorEastAsia" w:hAnsiTheme="minorEastAsia" w:cs="Arial"/>
              </w:rPr>
              <w:t>不适用</w:t>
            </w:r>
          </w:p>
        </w:tc>
        <w:tc>
          <w:tcPr>
            <w:tcW w:w="1451"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AC6502">
              <w:rPr>
                <w:rFonts w:ascii="Arial" w:eastAsiaTheme="minorEastAsia" w:hAnsi="Arial" w:cs="Arial" w:hint="eastAsia"/>
              </w:rPr>
              <w:t>0</w:t>
            </w:r>
            <w:r w:rsidRPr="00AC6502">
              <w:rPr>
                <w:rFonts w:ascii="Arial" w:eastAsiaTheme="minorEastAsia" w:hAnsi="Arial" w:cs="Arial"/>
              </w:rPr>
              <w:t>.00</w:t>
            </w:r>
          </w:p>
        </w:tc>
      </w:tr>
      <w:tr w:rsidR="005174D8" w:rsidRPr="008B4DBD" w:rsidTr="005174D8">
        <w:trPr>
          <w:trHeight w:val="369"/>
        </w:trPr>
        <w:tc>
          <w:tcPr>
            <w:tcW w:w="1526"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开源证券－珠海横琴汇增股权投资基金合伙企业（有限合伙）－开源证券金石</w:t>
            </w:r>
            <w:r w:rsidRPr="008B4DBD">
              <w:rPr>
                <w:rFonts w:ascii="Arial" w:eastAsiaTheme="minorEastAsia" w:hAnsi="Arial" w:cs="Arial"/>
              </w:rPr>
              <w:t>7</w:t>
            </w:r>
            <w:r w:rsidRPr="008B4DBD">
              <w:rPr>
                <w:rFonts w:ascii="Arial" w:eastAsiaTheme="minorEastAsia" w:hAnsiTheme="minorEastAsia" w:cs="Arial"/>
              </w:rPr>
              <w:t>号单一资产管理计划</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其他</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1.78%</w:t>
            </w:r>
          </w:p>
        </w:tc>
        <w:tc>
          <w:tcPr>
            <w:tcW w:w="1560"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4,335,260.00</w:t>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EA291B">
              <w:rPr>
                <w:rFonts w:ascii="Arial" w:eastAsiaTheme="minorEastAsia" w:hAnsi="Arial" w:cs="Arial" w:hint="eastAsia"/>
              </w:rPr>
              <w:t>0</w:t>
            </w:r>
            <w:r w:rsidRPr="00EA291B">
              <w:rPr>
                <w:rFonts w:ascii="Arial" w:eastAsiaTheme="minorEastAsia" w:hAnsi="Arial" w:cs="Arial"/>
              </w:rPr>
              <w:t>.00</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center"/>
              <w:rPr>
                <w:rFonts w:ascii="Arial" w:eastAsiaTheme="minorEastAsia" w:hAnsi="Arial" w:cs="Arial"/>
              </w:rPr>
            </w:pPr>
            <w:r w:rsidRPr="008B4DBD">
              <w:rPr>
                <w:rFonts w:ascii="Arial" w:eastAsiaTheme="minorEastAsia" w:hAnsiTheme="minorEastAsia" w:cs="Arial"/>
              </w:rPr>
              <w:t>不适用</w:t>
            </w:r>
          </w:p>
        </w:tc>
        <w:tc>
          <w:tcPr>
            <w:tcW w:w="1451"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AC6502">
              <w:rPr>
                <w:rFonts w:ascii="Arial" w:eastAsiaTheme="minorEastAsia" w:hAnsi="Arial" w:cs="Arial" w:hint="eastAsia"/>
              </w:rPr>
              <w:t>0</w:t>
            </w:r>
            <w:r w:rsidRPr="00AC6502">
              <w:rPr>
                <w:rFonts w:ascii="Arial" w:eastAsiaTheme="minorEastAsia" w:hAnsi="Arial" w:cs="Arial"/>
              </w:rPr>
              <w:t>.00</w:t>
            </w:r>
          </w:p>
        </w:tc>
      </w:tr>
      <w:tr w:rsidR="005174D8" w:rsidRPr="008B4DBD" w:rsidTr="005174D8">
        <w:trPr>
          <w:trHeight w:val="369"/>
        </w:trPr>
        <w:tc>
          <w:tcPr>
            <w:tcW w:w="1526"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田建潮</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境内自然人</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0.80%</w:t>
            </w:r>
          </w:p>
        </w:tc>
        <w:tc>
          <w:tcPr>
            <w:tcW w:w="1560"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1,940,000.00</w:t>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EA291B">
              <w:rPr>
                <w:rFonts w:ascii="Arial" w:eastAsiaTheme="minorEastAsia" w:hAnsi="Arial" w:cs="Arial" w:hint="eastAsia"/>
              </w:rPr>
              <w:t>0</w:t>
            </w:r>
            <w:r w:rsidRPr="00EA291B">
              <w:rPr>
                <w:rFonts w:ascii="Arial" w:eastAsiaTheme="minorEastAsia" w:hAnsi="Arial" w:cs="Arial"/>
              </w:rPr>
              <w:t>.00</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center"/>
              <w:rPr>
                <w:rFonts w:ascii="Arial" w:eastAsiaTheme="minorEastAsia" w:hAnsi="Arial" w:cs="Arial"/>
              </w:rPr>
            </w:pPr>
            <w:r w:rsidRPr="008B4DBD">
              <w:rPr>
                <w:rFonts w:ascii="Arial" w:eastAsiaTheme="minorEastAsia" w:hAnsiTheme="minorEastAsia" w:cs="Arial"/>
              </w:rPr>
              <w:t>不适用</w:t>
            </w:r>
          </w:p>
        </w:tc>
        <w:tc>
          <w:tcPr>
            <w:tcW w:w="1451"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AC6502">
              <w:rPr>
                <w:rFonts w:ascii="Arial" w:eastAsiaTheme="minorEastAsia" w:hAnsi="Arial" w:cs="Arial" w:hint="eastAsia"/>
              </w:rPr>
              <w:t>0</w:t>
            </w:r>
            <w:r w:rsidRPr="00AC6502">
              <w:rPr>
                <w:rFonts w:ascii="Arial" w:eastAsiaTheme="minorEastAsia" w:hAnsi="Arial" w:cs="Arial"/>
              </w:rPr>
              <w:t>.00</w:t>
            </w:r>
          </w:p>
        </w:tc>
      </w:tr>
      <w:tr w:rsidR="005174D8" w:rsidRPr="008B4DBD" w:rsidTr="005174D8">
        <w:trPr>
          <w:trHeight w:val="369"/>
        </w:trPr>
        <w:tc>
          <w:tcPr>
            <w:tcW w:w="1526"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中汇人寿保险股份有限公司－传统产品</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其他</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0.74%</w:t>
            </w:r>
          </w:p>
        </w:tc>
        <w:tc>
          <w:tcPr>
            <w:tcW w:w="1560"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1,794,700.00</w:t>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EA291B">
              <w:rPr>
                <w:rFonts w:ascii="Arial" w:eastAsiaTheme="minorEastAsia" w:hAnsi="Arial" w:cs="Arial" w:hint="eastAsia"/>
              </w:rPr>
              <w:t>0</w:t>
            </w:r>
            <w:r w:rsidRPr="00EA291B">
              <w:rPr>
                <w:rFonts w:ascii="Arial" w:eastAsiaTheme="minorEastAsia" w:hAnsi="Arial" w:cs="Arial"/>
              </w:rPr>
              <w:t>.00</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center"/>
              <w:rPr>
                <w:rFonts w:ascii="Arial" w:eastAsiaTheme="minorEastAsia" w:hAnsi="Arial" w:cs="Arial"/>
              </w:rPr>
            </w:pPr>
            <w:r w:rsidRPr="008B4DBD">
              <w:rPr>
                <w:rFonts w:ascii="Arial" w:eastAsiaTheme="minorEastAsia" w:hAnsiTheme="minorEastAsia" w:cs="Arial"/>
              </w:rPr>
              <w:t>不适用</w:t>
            </w:r>
          </w:p>
        </w:tc>
        <w:tc>
          <w:tcPr>
            <w:tcW w:w="1451"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AC6502">
              <w:rPr>
                <w:rFonts w:ascii="Arial" w:eastAsiaTheme="minorEastAsia" w:hAnsi="Arial" w:cs="Arial" w:hint="eastAsia"/>
              </w:rPr>
              <w:t>0</w:t>
            </w:r>
            <w:r w:rsidRPr="00AC6502">
              <w:rPr>
                <w:rFonts w:ascii="Arial" w:eastAsiaTheme="minorEastAsia" w:hAnsi="Arial" w:cs="Arial"/>
              </w:rPr>
              <w:t>.00</w:t>
            </w:r>
          </w:p>
        </w:tc>
      </w:tr>
      <w:tr w:rsidR="005174D8" w:rsidRPr="008B4DBD" w:rsidTr="005174D8">
        <w:trPr>
          <w:trHeight w:val="369"/>
        </w:trPr>
        <w:tc>
          <w:tcPr>
            <w:tcW w:w="1526"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宁波梅山保税港区沣途投资管理有限公司－沣途沣泰壹号私募股权投资基金</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其他</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0.50%</w:t>
            </w:r>
          </w:p>
        </w:tc>
        <w:tc>
          <w:tcPr>
            <w:tcW w:w="1560"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1,213,872.00</w:t>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EA291B">
              <w:rPr>
                <w:rFonts w:ascii="Arial" w:eastAsiaTheme="minorEastAsia" w:hAnsi="Arial" w:cs="Arial" w:hint="eastAsia"/>
              </w:rPr>
              <w:t>0</w:t>
            </w:r>
            <w:r w:rsidRPr="00EA291B">
              <w:rPr>
                <w:rFonts w:ascii="Arial" w:eastAsiaTheme="minorEastAsia" w:hAnsi="Arial" w:cs="Arial"/>
              </w:rPr>
              <w:t>.00</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center"/>
              <w:rPr>
                <w:rFonts w:ascii="Arial" w:eastAsiaTheme="minorEastAsia" w:hAnsi="Arial" w:cs="Arial"/>
              </w:rPr>
            </w:pPr>
            <w:r w:rsidRPr="008B4DBD">
              <w:rPr>
                <w:rFonts w:ascii="Arial" w:eastAsiaTheme="minorEastAsia" w:hAnsiTheme="minorEastAsia" w:cs="Arial"/>
              </w:rPr>
              <w:t>不适用</w:t>
            </w:r>
          </w:p>
        </w:tc>
        <w:tc>
          <w:tcPr>
            <w:tcW w:w="1451"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AC6502">
              <w:rPr>
                <w:rFonts w:ascii="Arial" w:eastAsiaTheme="minorEastAsia" w:hAnsi="Arial" w:cs="Arial" w:hint="eastAsia"/>
              </w:rPr>
              <w:t>0</w:t>
            </w:r>
            <w:r w:rsidRPr="00AC6502">
              <w:rPr>
                <w:rFonts w:ascii="Arial" w:eastAsiaTheme="minorEastAsia" w:hAnsi="Arial" w:cs="Arial"/>
              </w:rPr>
              <w:t>.00</w:t>
            </w:r>
          </w:p>
        </w:tc>
      </w:tr>
      <w:tr w:rsidR="005174D8" w:rsidRPr="008B4DBD" w:rsidTr="005174D8">
        <w:trPr>
          <w:trHeight w:val="369"/>
        </w:trPr>
        <w:tc>
          <w:tcPr>
            <w:tcW w:w="1526"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浙江探骊私募基金有限公司－探骊优选成长一号私募证券投资基金</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其他</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0.42%</w:t>
            </w:r>
          </w:p>
        </w:tc>
        <w:tc>
          <w:tcPr>
            <w:tcW w:w="1560"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1,018,172.00</w:t>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EA291B">
              <w:rPr>
                <w:rFonts w:ascii="Arial" w:eastAsiaTheme="minorEastAsia" w:hAnsi="Arial" w:cs="Arial" w:hint="eastAsia"/>
              </w:rPr>
              <w:t>0</w:t>
            </w:r>
            <w:r w:rsidRPr="00EA291B">
              <w:rPr>
                <w:rFonts w:ascii="Arial" w:eastAsiaTheme="minorEastAsia" w:hAnsi="Arial" w:cs="Arial"/>
              </w:rPr>
              <w:t>.00</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center"/>
              <w:rPr>
                <w:rFonts w:ascii="Arial" w:eastAsiaTheme="minorEastAsia" w:hAnsi="Arial" w:cs="Arial"/>
              </w:rPr>
            </w:pPr>
            <w:r w:rsidRPr="008B4DBD">
              <w:rPr>
                <w:rFonts w:ascii="Arial" w:eastAsiaTheme="minorEastAsia" w:hAnsiTheme="minorEastAsia" w:cs="Arial"/>
              </w:rPr>
              <w:t>不适用</w:t>
            </w:r>
          </w:p>
        </w:tc>
        <w:tc>
          <w:tcPr>
            <w:tcW w:w="1451"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AC6502">
              <w:rPr>
                <w:rFonts w:ascii="Arial" w:eastAsiaTheme="minorEastAsia" w:hAnsi="Arial" w:cs="Arial" w:hint="eastAsia"/>
              </w:rPr>
              <w:t>0</w:t>
            </w:r>
            <w:r w:rsidRPr="00AC6502">
              <w:rPr>
                <w:rFonts w:ascii="Arial" w:eastAsiaTheme="minorEastAsia" w:hAnsi="Arial" w:cs="Arial"/>
              </w:rPr>
              <w:t>.00</w:t>
            </w:r>
          </w:p>
        </w:tc>
      </w:tr>
      <w:tr w:rsidR="005174D8" w:rsidRPr="008B4DBD" w:rsidTr="005174D8">
        <w:trPr>
          <w:trHeight w:val="369"/>
        </w:trPr>
        <w:tc>
          <w:tcPr>
            <w:tcW w:w="1526"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何龙</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境内自然人</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0.40%</w:t>
            </w:r>
          </w:p>
        </w:tc>
        <w:tc>
          <w:tcPr>
            <w:tcW w:w="1560"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975,800.00</w:t>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EA291B">
              <w:rPr>
                <w:rFonts w:ascii="Arial" w:eastAsiaTheme="minorEastAsia" w:hAnsi="Arial" w:cs="Arial" w:hint="eastAsia"/>
              </w:rPr>
              <w:t>0</w:t>
            </w:r>
            <w:r w:rsidRPr="00EA291B">
              <w:rPr>
                <w:rFonts w:ascii="Arial" w:eastAsiaTheme="minorEastAsia" w:hAnsi="Arial" w:cs="Arial"/>
              </w:rPr>
              <w:t>.00</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center"/>
              <w:rPr>
                <w:rFonts w:ascii="Arial" w:eastAsiaTheme="minorEastAsia" w:hAnsi="Arial" w:cs="Arial"/>
              </w:rPr>
            </w:pPr>
            <w:r w:rsidRPr="008B4DBD">
              <w:rPr>
                <w:rFonts w:ascii="Arial" w:eastAsiaTheme="minorEastAsia" w:hAnsiTheme="minorEastAsia" w:cs="Arial"/>
              </w:rPr>
              <w:t>不适用</w:t>
            </w:r>
          </w:p>
        </w:tc>
        <w:tc>
          <w:tcPr>
            <w:tcW w:w="1451"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AC6502">
              <w:rPr>
                <w:rFonts w:ascii="Arial" w:eastAsiaTheme="minorEastAsia" w:hAnsi="Arial" w:cs="Arial" w:hint="eastAsia"/>
              </w:rPr>
              <w:t>0</w:t>
            </w:r>
            <w:r w:rsidRPr="00AC6502">
              <w:rPr>
                <w:rFonts w:ascii="Arial" w:eastAsiaTheme="minorEastAsia" w:hAnsi="Arial" w:cs="Arial"/>
              </w:rPr>
              <w:t>.00</w:t>
            </w:r>
          </w:p>
        </w:tc>
      </w:tr>
      <w:tr w:rsidR="005174D8" w:rsidRPr="008B4DBD" w:rsidTr="005174D8">
        <w:trPr>
          <w:trHeight w:val="369"/>
        </w:trPr>
        <w:tc>
          <w:tcPr>
            <w:tcW w:w="1526"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苏秀莲</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境内自然人</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0.31%</w:t>
            </w:r>
          </w:p>
        </w:tc>
        <w:tc>
          <w:tcPr>
            <w:tcW w:w="1560"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756,400.00</w:t>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EA291B">
              <w:rPr>
                <w:rFonts w:ascii="Arial" w:eastAsiaTheme="minorEastAsia" w:hAnsi="Arial" w:cs="Arial" w:hint="eastAsia"/>
              </w:rPr>
              <w:t>0</w:t>
            </w:r>
            <w:r w:rsidRPr="00EA291B">
              <w:rPr>
                <w:rFonts w:ascii="Arial" w:eastAsiaTheme="minorEastAsia" w:hAnsi="Arial" w:cs="Arial"/>
              </w:rPr>
              <w:t>.00</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center"/>
              <w:rPr>
                <w:rFonts w:ascii="Arial" w:eastAsiaTheme="minorEastAsia" w:hAnsi="Arial" w:cs="Arial"/>
              </w:rPr>
            </w:pPr>
            <w:r w:rsidRPr="008B4DBD">
              <w:rPr>
                <w:rFonts w:ascii="Arial" w:eastAsiaTheme="minorEastAsia" w:hAnsiTheme="minorEastAsia" w:cs="Arial"/>
              </w:rPr>
              <w:t>不适用</w:t>
            </w:r>
          </w:p>
        </w:tc>
        <w:tc>
          <w:tcPr>
            <w:tcW w:w="1451"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AC6502">
              <w:rPr>
                <w:rFonts w:ascii="Arial" w:eastAsiaTheme="minorEastAsia" w:hAnsi="Arial" w:cs="Arial" w:hint="eastAsia"/>
              </w:rPr>
              <w:t>0</w:t>
            </w:r>
            <w:r w:rsidRPr="00AC6502">
              <w:rPr>
                <w:rFonts w:ascii="Arial" w:eastAsiaTheme="minorEastAsia" w:hAnsi="Arial" w:cs="Arial"/>
              </w:rPr>
              <w:t>.00</w:t>
            </w:r>
          </w:p>
        </w:tc>
      </w:tr>
      <w:tr w:rsidR="005174D8" w:rsidRPr="008B4DBD" w:rsidTr="005174D8">
        <w:trPr>
          <w:trHeight w:val="369"/>
        </w:trPr>
        <w:tc>
          <w:tcPr>
            <w:tcW w:w="1526"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财通基金－江西大成资本管理有限公司－财通基金玉泉合富</w:t>
            </w:r>
            <w:r w:rsidRPr="008B4DBD">
              <w:rPr>
                <w:rFonts w:ascii="Arial" w:eastAsiaTheme="minorEastAsia" w:hAnsi="Arial" w:cs="Arial"/>
              </w:rPr>
              <w:t>37</w:t>
            </w:r>
            <w:r w:rsidRPr="008B4DBD">
              <w:rPr>
                <w:rFonts w:ascii="Arial" w:eastAsiaTheme="minorEastAsia" w:hAnsiTheme="minorEastAsia" w:cs="Arial"/>
              </w:rPr>
              <w:t>号单一资产管理计划</w:t>
            </w:r>
          </w:p>
        </w:tc>
        <w:tc>
          <w:tcPr>
            <w:tcW w:w="1417"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rPr>
                <w:rFonts w:ascii="Arial" w:eastAsiaTheme="minorEastAsia" w:hAnsi="Arial" w:cs="Arial"/>
              </w:rPr>
            </w:pPr>
            <w:r w:rsidRPr="008B4DBD">
              <w:rPr>
                <w:rFonts w:ascii="Arial" w:eastAsiaTheme="minorEastAsia" w:hAnsiTheme="minorEastAsia" w:cs="Arial"/>
              </w:rPr>
              <w:t>其他</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0.24%</w:t>
            </w:r>
          </w:p>
        </w:tc>
        <w:tc>
          <w:tcPr>
            <w:tcW w:w="1560" w:type="dxa"/>
            <w:gridSpan w:val="3"/>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right"/>
              <w:rPr>
                <w:rFonts w:ascii="Arial" w:eastAsiaTheme="minorEastAsia" w:hAnsi="Arial" w:cs="Arial"/>
              </w:rPr>
            </w:pPr>
            <w:r w:rsidRPr="008B4DBD">
              <w:rPr>
                <w:rFonts w:ascii="Arial" w:eastAsiaTheme="minorEastAsia" w:hAnsi="Arial" w:cs="Arial"/>
              </w:rPr>
              <w:t>578,034.00</w:t>
            </w:r>
          </w:p>
        </w:tc>
        <w:tc>
          <w:tcPr>
            <w:tcW w:w="1417"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EA291B">
              <w:rPr>
                <w:rFonts w:ascii="Arial" w:eastAsiaTheme="minorEastAsia" w:hAnsi="Arial" w:cs="Arial" w:hint="eastAsia"/>
              </w:rPr>
              <w:t>0</w:t>
            </w:r>
            <w:r w:rsidRPr="00EA291B">
              <w:rPr>
                <w:rFonts w:ascii="Arial" w:eastAsiaTheme="minorEastAsia" w:hAnsi="Arial" w:cs="Arial"/>
              </w:rPr>
              <w:t>.00</w:t>
            </w:r>
          </w:p>
        </w:tc>
        <w:tc>
          <w:tcPr>
            <w:tcW w:w="1134" w:type="dxa"/>
            <w:gridSpan w:val="2"/>
            <w:tcBorders>
              <w:top w:val="single" w:sz="2" w:space="0" w:color="auto"/>
              <w:left w:val="single" w:sz="2" w:space="0" w:color="auto"/>
              <w:bottom w:val="single" w:sz="2" w:space="0" w:color="auto"/>
              <w:right w:val="single" w:sz="2" w:space="0" w:color="auto"/>
            </w:tcBorders>
            <w:vAlign w:val="center"/>
          </w:tcPr>
          <w:p w:rsidR="005174D8" w:rsidRPr="008B4DBD" w:rsidRDefault="005174D8" w:rsidP="005174D8">
            <w:pPr>
              <w:spacing w:line="240" w:lineRule="exact"/>
              <w:jc w:val="center"/>
              <w:rPr>
                <w:rFonts w:ascii="Arial" w:eastAsiaTheme="minorEastAsia" w:hAnsi="Arial" w:cs="Arial"/>
              </w:rPr>
            </w:pPr>
            <w:r w:rsidRPr="008B4DBD">
              <w:rPr>
                <w:rFonts w:ascii="Arial" w:eastAsiaTheme="minorEastAsia" w:hAnsiTheme="minorEastAsia" w:cs="Arial"/>
              </w:rPr>
              <w:t>不适用</w:t>
            </w:r>
          </w:p>
        </w:tc>
        <w:tc>
          <w:tcPr>
            <w:tcW w:w="1451" w:type="dxa"/>
            <w:gridSpan w:val="2"/>
            <w:tcBorders>
              <w:top w:val="single" w:sz="2" w:space="0" w:color="auto"/>
              <w:left w:val="single" w:sz="2" w:space="0" w:color="auto"/>
              <w:bottom w:val="single" w:sz="2" w:space="0" w:color="auto"/>
              <w:right w:val="single" w:sz="2" w:space="0" w:color="auto"/>
            </w:tcBorders>
            <w:vAlign w:val="center"/>
          </w:tcPr>
          <w:p w:rsidR="005174D8" w:rsidRDefault="005174D8" w:rsidP="005174D8">
            <w:pPr>
              <w:jc w:val="right"/>
            </w:pPr>
            <w:r w:rsidRPr="00AC6502">
              <w:rPr>
                <w:rFonts w:ascii="Arial" w:eastAsiaTheme="minorEastAsia" w:hAnsi="Arial" w:cs="Arial" w:hint="eastAsia"/>
              </w:rPr>
              <w:t>0</w:t>
            </w:r>
            <w:r w:rsidRPr="00AC6502">
              <w:rPr>
                <w:rFonts w:ascii="Arial" w:eastAsiaTheme="minorEastAsia" w:hAnsi="Arial" w:cs="Arial"/>
              </w:rPr>
              <w:t>.00</w:t>
            </w:r>
          </w:p>
        </w:tc>
      </w:tr>
      <w:tr w:rsidR="00A43DB8" w:rsidRPr="008B4DBD" w:rsidTr="00A43DB8">
        <w:trPr>
          <w:trHeight w:val="369"/>
        </w:trPr>
        <w:tc>
          <w:tcPr>
            <w:tcW w:w="2943" w:type="dxa"/>
            <w:gridSpan w:val="5"/>
            <w:tcBorders>
              <w:top w:val="single" w:sz="2" w:space="0" w:color="auto"/>
              <w:left w:val="single" w:sz="2" w:space="0" w:color="auto"/>
              <w:bottom w:val="single" w:sz="2" w:space="0" w:color="auto"/>
              <w:right w:val="single" w:sz="2" w:space="0" w:color="auto"/>
            </w:tcBorders>
            <w:shd w:val="clear" w:color="auto" w:fill="D3D3D3"/>
            <w:vAlign w:val="center"/>
          </w:tcPr>
          <w:p w:rsidR="00A43DB8" w:rsidRPr="008B4DBD" w:rsidRDefault="00A43DB8" w:rsidP="008B4DBD">
            <w:pPr>
              <w:spacing w:line="240" w:lineRule="exact"/>
              <w:rPr>
                <w:rFonts w:ascii="Arial" w:eastAsiaTheme="minorEastAsia" w:hAnsi="Arial" w:cs="Arial"/>
              </w:rPr>
            </w:pPr>
            <w:r w:rsidRPr="008B4DBD">
              <w:rPr>
                <w:rFonts w:ascii="Arial" w:eastAsiaTheme="minorEastAsia" w:hAnsiTheme="minorEastAsia" w:cs="Arial"/>
              </w:rPr>
              <w:t>上述股东关联关系或一致行动的说明</w:t>
            </w:r>
          </w:p>
        </w:tc>
        <w:tc>
          <w:tcPr>
            <w:tcW w:w="6696" w:type="dxa"/>
            <w:gridSpan w:val="11"/>
            <w:tcBorders>
              <w:top w:val="single" w:sz="2" w:space="0" w:color="auto"/>
              <w:left w:val="single" w:sz="2" w:space="0" w:color="auto"/>
              <w:bottom w:val="single" w:sz="2" w:space="0" w:color="auto"/>
              <w:right w:val="single" w:sz="2" w:space="0" w:color="auto"/>
            </w:tcBorders>
            <w:vAlign w:val="center"/>
          </w:tcPr>
          <w:p w:rsidR="00BC4F27" w:rsidRPr="008B4DBD" w:rsidRDefault="00A43DB8" w:rsidP="008B4DBD">
            <w:pPr>
              <w:spacing w:before="0" w:after="0"/>
              <w:rPr>
                <w:rFonts w:ascii="Arial" w:eastAsiaTheme="minorEastAsia" w:hAnsi="Arial" w:cs="Arial"/>
              </w:rPr>
            </w:pPr>
            <w:r w:rsidRPr="008B4DBD">
              <w:rPr>
                <w:rFonts w:ascii="Arial" w:eastAsiaTheme="minorEastAsia" w:hAnsiTheme="minorEastAsia" w:cs="Arial"/>
              </w:rPr>
              <w:t>宝钛集团有限公司为公司控股股东，山西华鑫海贸易有限公司为公司第二大股东，两股东之间不存在关联关系和一致行动关系。除此之外，未知上述股东之间是否存在关联关系，也未知是否属于一致行动人。</w:t>
            </w:r>
          </w:p>
        </w:tc>
      </w:tr>
    </w:tbl>
    <w:p w:rsidR="0088573D" w:rsidRPr="0088573D" w:rsidRDefault="0088573D" w:rsidP="0088573D">
      <w:pPr>
        <w:spacing w:line="360" w:lineRule="auto"/>
        <w:jc w:val="left"/>
        <w:rPr>
          <w:rFonts w:asciiTheme="minorEastAsia" w:eastAsiaTheme="minorEastAsia" w:hAnsiTheme="minorEastAsia" w:cs="Arial"/>
          <w:sz w:val="21"/>
          <w:szCs w:val="21"/>
        </w:rPr>
      </w:pPr>
      <w:bookmarkStart w:id="4" w:name="OLE_LINK30"/>
      <w:r w:rsidRPr="0088573D">
        <w:rPr>
          <w:rFonts w:asciiTheme="minorEastAsia" w:eastAsiaTheme="minorEastAsia" w:hAnsiTheme="minorEastAsia" w:cs="Arial"/>
          <w:sz w:val="21"/>
          <w:szCs w:val="21"/>
        </w:rPr>
        <w:t>持股5%以上股东、前10名股东及前10名无限售流通股股东参与转融通业务出借股份情况</w:t>
      </w:r>
    </w:p>
    <w:p w:rsidR="0088573D" w:rsidRPr="0088573D" w:rsidRDefault="0088573D" w:rsidP="0088573D">
      <w:pPr>
        <w:spacing w:line="360" w:lineRule="auto"/>
        <w:jc w:val="left"/>
        <w:rPr>
          <w:rFonts w:asciiTheme="minorEastAsia" w:eastAsiaTheme="minorEastAsia" w:hAnsiTheme="minorEastAsia" w:cs="Arial"/>
          <w:sz w:val="21"/>
          <w:szCs w:val="21"/>
        </w:rPr>
      </w:pPr>
      <w:r w:rsidRPr="0088573D">
        <w:rPr>
          <w:rFonts w:asciiTheme="minorEastAsia" w:eastAsiaTheme="minorEastAsia" w:hAnsiTheme="minorEastAsia" w:cs="Arial"/>
          <w:sz w:val="21"/>
          <w:szCs w:val="21"/>
        </w:rPr>
        <w:t xml:space="preserve">□适用 </w:t>
      </w:r>
      <w:r w:rsidRPr="0088573D">
        <w:rPr>
          <w:rFonts w:asciiTheme="minorEastAsia" w:eastAsiaTheme="minorEastAsia" w:hAnsiTheme="minorEastAsia" w:cs="Arial"/>
          <w:sz w:val="21"/>
          <w:szCs w:val="21"/>
        </w:rPr>
        <w:sym w:font="Wingdings 2" w:char="F052"/>
      </w:r>
      <w:r w:rsidRPr="0088573D">
        <w:rPr>
          <w:rFonts w:asciiTheme="minorEastAsia" w:eastAsiaTheme="minorEastAsia" w:hAnsiTheme="minorEastAsia" w:cs="Arial"/>
          <w:sz w:val="21"/>
          <w:szCs w:val="21"/>
        </w:rPr>
        <w:t>不适用</w:t>
      </w:r>
    </w:p>
    <w:p w:rsidR="0088573D" w:rsidRPr="0088573D" w:rsidRDefault="0088573D" w:rsidP="0088573D">
      <w:pPr>
        <w:spacing w:line="360" w:lineRule="auto"/>
        <w:jc w:val="left"/>
        <w:rPr>
          <w:rFonts w:asciiTheme="minorEastAsia" w:eastAsiaTheme="minorEastAsia" w:hAnsiTheme="minorEastAsia" w:cs="Arial"/>
          <w:sz w:val="21"/>
          <w:szCs w:val="21"/>
        </w:rPr>
      </w:pPr>
      <w:r w:rsidRPr="0088573D">
        <w:rPr>
          <w:rFonts w:asciiTheme="minorEastAsia" w:eastAsiaTheme="minorEastAsia" w:hAnsiTheme="minorEastAsia" w:cs="Arial"/>
          <w:sz w:val="21"/>
          <w:szCs w:val="21"/>
        </w:rPr>
        <w:t>前10名股东及前10名无限售流通股股东因转融通出借/归还原因导致较上期发生变化</w:t>
      </w:r>
    </w:p>
    <w:p w:rsidR="0088573D" w:rsidRPr="0088573D" w:rsidRDefault="0088573D" w:rsidP="0088573D">
      <w:pPr>
        <w:spacing w:line="360" w:lineRule="auto"/>
        <w:jc w:val="left"/>
        <w:rPr>
          <w:rFonts w:asciiTheme="minorEastAsia" w:eastAsiaTheme="minorEastAsia" w:hAnsiTheme="minorEastAsia" w:cs="Arial"/>
          <w:sz w:val="21"/>
          <w:szCs w:val="21"/>
        </w:rPr>
      </w:pPr>
      <w:r w:rsidRPr="0088573D">
        <w:rPr>
          <w:rFonts w:asciiTheme="minorEastAsia" w:eastAsiaTheme="minorEastAsia" w:hAnsiTheme="minorEastAsia" w:cs="Arial"/>
          <w:sz w:val="21"/>
          <w:szCs w:val="21"/>
        </w:rPr>
        <w:t xml:space="preserve">□适用 </w:t>
      </w:r>
      <w:r w:rsidRPr="0088573D">
        <w:rPr>
          <w:rFonts w:asciiTheme="minorEastAsia" w:eastAsiaTheme="minorEastAsia" w:hAnsiTheme="minorEastAsia" w:cs="Arial"/>
          <w:sz w:val="21"/>
          <w:szCs w:val="21"/>
        </w:rPr>
        <w:sym w:font="Wingdings 2" w:char="F052"/>
      </w:r>
      <w:r w:rsidRPr="0088573D">
        <w:rPr>
          <w:rFonts w:asciiTheme="minorEastAsia" w:eastAsiaTheme="minorEastAsia" w:hAnsiTheme="minorEastAsia" w:cs="Arial"/>
          <w:sz w:val="21"/>
          <w:szCs w:val="21"/>
        </w:rPr>
        <w:t>不适用</w:t>
      </w:r>
    </w:p>
    <w:p w:rsidR="0088573D" w:rsidRPr="0088573D" w:rsidRDefault="0088573D" w:rsidP="0088573D">
      <w:pPr>
        <w:spacing w:line="360" w:lineRule="auto"/>
        <w:jc w:val="left"/>
        <w:rPr>
          <w:rFonts w:asciiTheme="minorEastAsia" w:eastAsiaTheme="minorEastAsia" w:hAnsiTheme="minorEastAsia" w:cs="Arial"/>
          <w:sz w:val="21"/>
          <w:szCs w:val="21"/>
        </w:rPr>
      </w:pPr>
      <w:r w:rsidRPr="0088573D">
        <w:rPr>
          <w:rFonts w:asciiTheme="minorEastAsia" w:eastAsiaTheme="minorEastAsia" w:hAnsiTheme="minorEastAsia" w:cs="Arial"/>
          <w:sz w:val="21"/>
          <w:szCs w:val="21"/>
        </w:rPr>
        <w:t>公司是否具有表决权差异安排</w:t>
      </w:r>
    </w:p>
    <w:p w:rsidR="0088573D" w:rsidRPr="0088573D" w:rsidRDefault="0088573D" w:rsidP="0088573D">
      <w:pPr>
        <w:spacing w:line="360" w:lineRule="auto"/>
        <w:jc w:val="left"/>
        <w:rPr>
          <w:rFonts w:asciiTheme="minorEastAsia" w:eastAsiaTheme="minorEastAsia" w:hAnsiTheme="minorEastAsia" w:cs="Arial"/>
          <w:sz w:val="21"/>
          <w:szCs w:val="21"/>
        </w:rPr>
      </w:pPr>
      <w:r w:rsidRPr="0088573D">
        <w:rPr>
          <w:rFonts w:asciiTheme="minorEastAsia" w:eastAsiaTheme="minorEastAsia" w:hAnsiTheme="minorEastAsia" w:cs="Arial"/>
          <w:sz w:val="21"/>
          <w:szCs w:val="21"/>
        </w:rPr>
        <w:t xml:space="preserve">□适用 </w:t>
      </w:r>
      <w:r w:rsidRPr="0088573D">
        <w:rPr>
          <w:rFonts w:asciiTheme="minorEastAsia" w:eastAsiaTheme="minorEastAsia" w:hAnsiTheme="minorEastAsia" w:cs="Arial"/>
          <w:sz w:val="21"/>
          <w:szCs w:val="21"/>
        </w:rPr>
        <w:sym w:font="Wingdings 2" w:char="F052"/>
      </w:r>
      <w:r w:rsidRPr="0088573D">
        <w:rPr>
          <w:rFonts w:asciiTheme="minorEastAsia" w:eastAsiaTheme="minorEastAsia" w:hAnsiTheme="minorEastAsia" w:cs="Arial"/>
          <w:sz w:val="21"/>
          <w:szCs w:val="21"/>
        </w:rPr>
        <w:t>不适用</w:t>
      </w:r>
    </w:p>
    <w:bookmarkEnd w:id="4"/>
    <w:p w:rsidR="00A657C2" w:rsidRPr="00090FC7" w:rsidRDefault="00A657C2" w:rsidP="00BC783E">
      <w:pPr>
        <w:pStyle w:val="Section"/>
        <w:keepNext w:val="0"/>
        <w:keepLines w:val="0"/>
        <w:spacing w:before="120" w:after="40" w:line="360" w:lineRule="auto"/>
        <w:outlineLvl w:val="3"/>
        <w:rPr>
          <w:rFonts w:ascii="Arial" w:hAnsi="Arial" w:cs="Arial"/>
          <w:bCs w:val="0"/>
          <w:szCs w:val="24"/>
        </w:rPr>
      </w:pPr>
      <w:r w:rsidRPr="00090FC7">
        <w:rPr>
          <w:rFonts w:ascii="Arial" w:hAnsi="Arial" w:cs="Arial" w:hint="eastAsia"/>
          <w:bCs w:val="0"/>
          <w:szCs w:val="24"/>
        </w:rPr>
        <w:t>（</w:t>
      </w:r>
      <w:r w:rsidRPr="00090FC7">
        <w:rPr>
          <w:rFonts w:ascii="Arial" w:hAnsi="Arial" w:cs="Arial"/>
          <w:bCs w:val="0"/>
          <w:szCs w:val="24"/>
        </w:rPr>
        <w:t>2</w:t>
      </w:r>
      <w:r w:rsidRPr="00090FC7">
        <w:rPr>
          <w:rFonts w:ascii="Arial" w:hAnsi="Arial" w:cs="Arial" w:hint="eastAsia"/>
          <w:bCs w:val="0"/>
          <w:szCs w:val="24"/>
        </w:rPr>
        <w:t>）公司优先股股东总数及前</w:t>
      </w:r>
      <w:r w:rsidRPr="00090FC7">
        <w:rPr>
          <w:rFonts w:ascii="Arial" w:hAnsi="Arial" w:cs="Arial"/>
          <w:bCs w:val="0"/>
          <w:szCs w:val="24"/>
        </w:rPr>
        <w:t>10</w:t>
      </w:r>
      <w:r w:rsidRPr="00090FC7">
        <w:rPr>
          <w:rFonts w:ascii="Arial" w:hAnsi="Arial" w:cs="Arial" w:hint="eastAsia"/>
          <w:bCs w:val="0"/>
          <w:szCs w:val="24"/>
        </w:rPr>
        <w:t>名优先股股东持股情况表</w:t>
      </w:r>
    </w:p>
    <w:p w:rsidR="00A657C2" w:rsidRPr="00090FC7" w:rsidRDefault="00A657C2" w:rsidP="00A657C2">
      <w:pPr>
        <w:spacing w:line="360" w:lineRule="auto"/>
        <w:jc w:val="left"/>
        <w:rPr>
          <w:rFonts w:ascii="Arial" w:hAnsi="Arial" w:cs="Arial"/>
          <w:sz w:val="21"/>
          <w:szCs w:val="21"/>
        </w:rPr>
      </w:pPr>
      <w:r w:rsidRPr="008923D6">
        <w:rPr>
          <w:rFonts w:asciiTheme="minorEastAsia" w:eastAsiaTheme="minorEastAsia" w:hAnsiTheme="minorEastAsia" w:cs="Arial"/>
          <w:sz w:val="21"/>
          <w:szCs w:val="21"/>
        </w:rPr>
        <w:t>□</w:t>
      </w:r>
      <w:r w:rsidRPr="00090FC7">
        <w:rPr>
          <w:rFonts w:ascii="Arial" w:hAnsi="Arial" w:cs="Arial" w:hint="eastAsia"/>
          <w:sz w:val="21"/>
          <w:szCs w:val="21"/>
        </w:rPr>
        <w:t>适用</w:t>
      </w:r>
      <w:r w:rsidR="0088573D">
        <w:rPr>
          <w:rFonts w:ascii="Arial" w:hAnsi="Arial" w:cs="Arial" w:hint="eastAsia"/>
          <w:sz w:val="21"/>
          <w:szCs w:val="21"/>
        </w:rPr>
        <w:t xml:space="preserve"> </w:t>
      </w:r>
      <w:r w:rsidR="008923D6" w:rsidRPr="00207922">
        <w:rPr>
          <w:rFonts w:ascii="宋体" w:hAnsi="宋体" w:cs="宋体"/>
          <w:sz w:val="21"/>
          <w:szCs w:val="21"/>
        </w:rPr>
        <w:sym w:font="Wingdings 2" w:char="F052"/>
      </w:r>
      <w:r w:rsidRPr="00090FC7">
        <w:rPr>
          <w:rFonts w:ascii="Arial" w:hAnsi="Arial" w:cs="Arial" w:hint="eastAsia"/>
          <w:sz w:val="21"/>
          <w:szCs w:val="21"/>
        </w:rPr>
        <w:t>不适用</w:t>
      </w:r>
    </w:p>
    <w:p w:rsidR="00A657C2" w:rsidRPr="00090FC7" w:rsidRDefault="00A657C2" w:rsidP="00A657C2">
      <w:pPr>
        <w:spacing w:line="360" w:lineRule="auto"/>
        <w:jc w:val="left"/>
        <w:rPr>
          <w:rFonts w:ascii="Arial" w:hAnsi="Arial" w:cs="Arial"/>
          <w:sz w:val="21"/>
          <w:szCs w:val="21"/>
        </w:rPr>
      </w:pPr>
      <w:r w:rsidRPr="00090FC7">
        <w:rPr>
          <w:rFonts w:ascii="Arial" w:hAnsi="Arial" w:cs="Arial" w:hint="eastAsia"/>
          <w:sz w:val="21"/>
          <w:szCs w:val="21"/>
        </w:rPr>
        <w:t>公司报告期无优先股股东持股情况。</w:t>
      </w:r>
    </w:p>
    <w:p w:rsidR="00A657C2" w:rsidRPr="00090FC7" w:rsidRDefault="00A657C2" w:rsidP="00A657C2">
      <w:pPr>
        <w:pStyle w:val="Section"/>
        <w:keepNext w:val="0"/>
        <w:keepLines w:val="0"/>
        <w:spacing w:before="40" w:after="40" w:line="360" w:lineRule="auto"/>
        <w:outlineLvl w:val="3"/>
        <w:rPr>
          <w:rFonts w:ascii="Arial" w:hAnsi="Arial" w:cs="Arial"/>
          <w:bCs w:val="0"/>
          <w:szCs w:val="24"/>
        </w:rPr>
      </w:pPr>
      <w:r w:rsidRPr="008F2365">
        <w:rPr>
          <w:rFonts w:ascii="Arial" w:hAnsi="Arial" w:cs="Arial" w:hint="eastAsia"/>
          <w:bCs w:val="0"/>
          <w:szCs w:val="24"/>
        </w:rPr>
        <w:t>（</w:t>
      </w:r>
      <w:r w:rsidRPr="008F2365">
        <w:rPr>
          <w:rFonts w:ascii="Arial" w:hAnsi="Arial" w:cs="Arial"/>
          <w:bCs w:val="0"/>
          <w:szCs w:val="24"/>
        </w:rPr>
        <w:t>3</w:t>
      </w:r>
      <w:r w:rsidRPr="008F2365">
        <w:rPr>
          <w:rFonts w:ascii="Arial" w:hAnsi="Arial" w:cs="Arial" w:hint="eastAsia"/>
          <w:bCs w:val="0"/>
          <w:szCs w:val="24"/>
        </w:rPr>
        <w:t>）以方框图形式披露公司与实际控制人之间的产权及控制关系</w:t>
      </w:r>
    </w:p>
    <w:p w:rsidR="00A657C2" w:rsidRPr="00090FC7" w:rsidRDefault="0088573D" w:rsidP="00A657C2">
      <w:pPr>
        <w:autoSpaceDE w:val="0"/>
        <w:autoSpaceDN w:val="0"/>
        <w:adjustRightInd w:val="0"/>
        <w:spacing w:before="200" w:after="200"/>
        <w:jc w:val="center"/>
        <w:rPr>
          <w:rFonts w:ascii="Arial" w:hAnsi="Arial" w:cs="Arial"/>
          <w:kern w:val="0"/>
          <w:sz w:val="24"/>
          <w:szCs w:val="24"/>
        </w:rPr>
      </w:pPr>
      <w:r w:rsidRPr="0088573D">
        <w:rPr>
          <w:rFonts w:ascii="Arial" w:hAnsi="Arial" w:cs="Arial"/>
          <w:noProof/>
          <w:kern w:val="0"/>
          <w:sz w:val="24"/>
          <w:szCs w:val="24"/>
        </w:rPr>
        <w:drawing>
          <wp:inline distT="0" distB="0" distL="0" distR="0">
            <wp:extent cx="2286714" cy="2046849"/>
            <wp:effectExtent l="1905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 cstate="print">
                      <a:extLst/>
                    </a:blip>
                    <a:stretch>
                      <a:fillRect/>
                    </a:stretch>
                  </pic:blipFill>
                  <pic:spPr>
                    <a:xfrm>
                      <a:off x="0" y="0"/>
                      <a:ext cx="2291244" cy="2050904"/>
                    </a:xfrm>
                    <a:prstGeom prst="rect">
                      <a:avLst/>
                    </a:prstGeom>
                  </pic:spPr>
                </pic:pic>
              </a:graphicData>
            </a:graphic>
          </wp:inline>
        </w:drawing>
      </w:r>
    </w:p>
    <w:p w:rsidR="00A657C2" w:rsidRPr="00090FC7" w:rsidRDefault="00A657C2" w:rsidP="00A657C2">
      <w:pPr>
        <w:spacing w:before="120" w:line="360" w:lineRule="auto"/>
        <w:outlineLvl w:val="2"/>
        <w:rPr>
          <w:rFonts w:ascii="Arial" w:hAnsi="Arial" w:cs="Arial"/>
          <w:b/>
          <w:sz w:val="21"/>
          <w:szCs w:val="21"/>
        </w:rPr>
      </w:pPr>
      <w:r w:rsidRPr="00090FC7">
        <w:rPr>
          <w:rFonts w:ascii="Arial" w:hAnsi="Arial" w:cs="Arial"/>
          <w:b/>
          <w:sz w:val="21"/>
          <w:szCs w:val="21"/>
        </w:rPr>
        <w:t>5</w:t>
      </w:r>
      <w:r w:rsidRPr="00090FC7">
        <w:rPr>
          <w:rFonts w:ascii="Arial" w:hAnsi="Arial" w:cs="Arial" w:hint="eastAsia"/>
          <w:b/>
          <w:sz w:val="21"/>
          <w:szCs w:val="21"/>
        </w:rPr>
        <w:t>、</w:t>
      </w:r>
      <w:r w:rsidR="00B96A5E">
        <w:rPr>
          <w:rFonts w:ascii="Arial" w:hAnsi="Arial" w:cs="Arial" w:hint="eastAsia"/>
          <w:b/>
          <w:sz w:val="21"/>
          <w:szCs w:val="21"/>
        </w:rPr>
        <w:t>在年度报告批准报出日存续的债券情况</w:t>
      </w:r>
    </w:p>
    <w:p w:rsidR="00A657C2" w:rsidRPr="00090FC7" w:rsidRDefault="00A657C2" w:rsidP="007D727F">
      <w:pPr>
        <w:spacing w:before="0" w:after="0" w:line="360" w:lineRule="auto"/>
        <w:jc w:val="left"/>
        <w:rPr>
          <w:rFonts w:ascii="Arial" w:hAnsi="Arial" w:cs="Arial"/>
          <w:sz w:val="21"/>
          <w:szCs w:val="21"/>
        </w:rPr>
      </w:pPr>
      <w:r w:rsidRPr="00090FC7">
        <w:rPr>
          <w:rFonts w:ascii="Arial" w:hAnsi="Arial" w:cs="Arial" w:hint="eastAsia"/>
          <w:sz w:val="21"/>
          <w:szCs w:val="21"/>
        </w:rPr>
        <w:t>公司是否存在公开发行并在证券交易所上市，且在年度报告批准报出日未到期或到期未能全额兑付的公司债券</w:t>
      </w:r>
    </w:p>
    <w:p w:rsidR="00A657C2" w:rsidRPr="00090FC7" w:rsidRDefault="00A657C2" w:rsidP="007D727F">
      <w:pPr>
        <w:spacing w:before="0" w:after="0" w:line="360" w:lineRule="auto"/>
        <w:jc w:val="left"/>
        <w:rPr>
          <w:rFonts w:ascii="Arial" w:hAnsi="Arial" w:cs="Arial"/>
          <w:sz w:val="21"/>
          <w:szCs w:val="21"/>
        </w:rPr>
      </w:pPr>
      <w:r w:rsidRPr="00090FC7">
        <w:rPr>
          <w:rFonts w:ascii="Arial" w:hAnsi="Arial" w:cs="Arial" w:hint="eastAsia"/>
          <w:sz w:val="21"/>
          <w:szCs w:val="21"/>
        </w:rPr>
        <w:t>否</w:t>
      </w:r>
    </w:p>
    <w:p w:rsidR="00B96A5E" w:rsidRDefault="00A657C2" w:rsidP="007D727F">
      <w:pPr>
        <w:spacing w:before="0" w:after="0" w:line="360" w:lineRule="auto"/>
        <w:outlineLvl w:val="1"/>
        <w:rPr>
          <w:rFonts w:ascii="Arial" w:hAnsi="Arial" w:cs="Arial"/>
          <w:b/>
          <w:sz w:val="24"/>
          <w:szCs w:val="24"/>
        </w:rPr>
      </w:pPr>
      <w:r w:rsidRPr="00AD40F4">
        <w:rPr>
          <w:rFonts w:ascii="Arial" w:hAnsi="Arial" w:cs="Arial" w:hint="eastAsia"/>
          <w:b/>
          <w:sz w:val="24"/>
          <w:szCs w:val="24"/>
        </w:rPr>
        <w:t>三、</w:t>
      </w:r>
      <w:r w:rsidR="00B96A5E" w:rsidRPr="00AD40F4">
        <w:rPr>
          <w:rFonts w:ascii="Arial" w:hAnsi="Arial" w:cs="Arial" w:hint="eastAsia"/>
          <w:b/>
          <w:sz w:val="24"/>
          <w:szCs w:val="24"/>
        </w:rPr>
        <w:t>重要事项</w:t>
      </w:r>
    </w:p>
    <w:p w:rsidR="0088573D" w:rsidRPr="0088573D" w:rsidRDefault="0088573D" w:rsidP="00E06F28">
      <w:pPr>
        <w:pStyle w:val="af0"/>
        <w:spacing w:beforeLines="25" w:before="78" w:beforeAutospacing="0" w:afterAutospacing="0" w:line="324" w:lineRule="auto"/>
        <w:ind w:firstLineChars="200" w:firstLine="422"/>
        <w:jc w:val="both"/>
        <w:rPr>
          <w:rFonts w:ascii="Arial" w:eastAsiaTheme="minorEastAsia" w:hAnsi="Arial" w:cs="Arial"/>
          <w:sz w:val="21"/>
          <w:szCs w:val="21"/>
        </w:rPr>
      </w:pPr>
      <w:r w:rsidRPr="0088573D">
        <w:rPr>
          <w:rStyle w:val="af1"/>
          <w:rFonts w:ascii="Arial" w:eastAsiaTheme="minorEastAsia" w:hAnsiTheme="minorEastAsia" w:cs="Arial"/>
          <w:sz w:val="21"/>
          <w:szCs w:val="21"/>
        </w:rPr>
        <w:t>（一）董事会和监事会换届事项</w:t>
      </w:r>
    </w:p>
    <w:p w:rsidR="0088573D" w:rsidRPr="0088573D" w:rsidRDefault="0088573D" w:rsidP="00E06F28">
      <w:pPr>
        <w:pStyle w:val="af0"/>
        <w:spacing w:beforeLines="25" w:before="78" w:beforeAutospacing="0" w:afterAutospacing="0" w:line="324" w:lineRule="auto"/>
        <w:ind w:firstLineChars="200" w:firstLine="420"/>
        <w:jc w:val="both"/>
        <w:rPr>
          <w:rFonts w:ascii="Arial" w:eastAsiaTheme="minorEastAsia" w:hAnsi="Arial" w:cs="Arial"/>
          <w:szCs w:val="24"/>
        </w:rPr>
      </w:pPr>
      <w:r w:rsidRPr="0088573D">
        <w:rPr>
          <w:rFonts w:ascii="Arial" w:eastAsiaTheme="minorEastAsia" w:hAnsiTheme="minorEastAsia" w:cs="Arial"/>
          <w:sz w:val="21"/>
          <w:szCs w:val="21"/>
        </w:rPr>
        <w:t>鉴于公司第五届董事会、监事会已届满，公司通过职工代表大会选举了第六届职工代表监事，于</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w:t>
      </w:r>
      <w:r w:rsidRPr="0088573D">
        <w:rPr>
          <w:rFonts w:ascii="Arial" w:eastAsiaTheme="minorEastAsia" w:hAnsi="Arial" w:cs="Arial"/>
          <w:sz w:val="21"/>
          <w:szCs w:val="21"/>
        </w:rPr>
        <w:t>4</w:t>
      </w:r>
      <w:r w:rsidRPr="0088573D">
        <w:rPr>
          <w:rFonts w:ascii="Arial" w:eastAsiaTheme="minorEastAsia" w:hAnsiTheme="minorEastAsia" w:cs="Arial"/>
          <w:sz w:val="21"/>
          <w:szCs w:val="21"/>
        </w:rPr>
        <w:t>月</w:t>
      </w:r>
      <w:r w:rsidRPr="0088573D">
        <w:rPr>
          <w:rFonts w:ascii="Arial" w:eastAsiaTheme="minorEastAsia" w:hAnsi="Arial" w:cs="Arial"/>
          <w:sz w:val="21"/>
          <w:szCs w:val="21"/>
        </w:rPr>
        <w:t>1</w:t>
      </w:r>
      <w:r w:rsidRPr="0088573D">
        <w:rPr>
          <w:rFonts w:ascii="Arial" w:eastAsiaTheme="minorEastAsia" w:hAnsiTheme="minorEastAsia" w:cs="Arial"/>
          <w:sz w:val="21"/>
          <w:szCs w:val="21"/>
        </w:rPr>
        <w:t>日召开第五届董事会第二十四次会议和第五届监事会第二十次会议，</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w:t>
      </w:r>
      <w:r w:rsidRPr="0088573D">
        <w:rPr>
          <w:rFonts w:ascii="Arial" w:eastAsiaTheme="minorEastAsia" w:hAnsi="Arial" w:cs="Arial"/>
          <w:sz w:val="21"/>
          <w:szCs w:val="21"/>
        </w:rPr>
        <w:t>4</w:t>
      </w:r>
      <w:r w:rsidRPr="0088573D">
        <w:rPr>
          <w:rFonts w:ascii="Arial" w:eastAsiaTheme="minorEastAsia" w:hAnsiTheme="minorEastAsia" w:cs="Arial"/>
          <w:sz w:val="21"/>
          <w:szCs w:val="21"/>
        </w:rPr>
        <w:t>月</w:t>
      </w:r>
      <w:r w:rsidRPr="0088573D">
        <w:rPr>
          <w:rFonts w:ascii="Arial" w:eastAsiaTheme="minorEastAsia" w:hAnsi="Arial" w:cs="Arial"/>
          <w:sz w:val="21"/>
          <w:szCs w:val="21"/>
        </w:rPr>
        <w:t>25</w:t>
      </w:r>
      <w:r w:rsidRPr="0088573D">
        <w:rPr>
          <w:rFonts w:ascii="Arial" w:eastAsiaTheme="minorEastAsia" w:hAnsiTheme="minorEastAsia" w:cs="Arial"/>
          <w:sz w:val="21"/>
          <w:szCs w:val="21"/>
        </w:rPr>
        <w:t>日召开</w:t>
      </w:r>
      <w:r w:rsidRPr="0088573D">
        <w:rPr>
          <w:rFonts w:ascii="Arial" w:eastAsiaTheme="minorEastAsia" w:hAnsi="Arial" w:cs="Arial"/>
          <w:sz w:val="21"/>
          <w:szCs w:val="21"/>
        </w:rPr>
        <w:t>2023</w:t>
      </w:r>
      <w:r w:rsidRPr="0088573D">
        <w:rPr>
          <w:rFonts w:ascii="Arial" w:eastAsiaTheme="minorEastAsia" w:hAnsiTheme="minorEastAsia" w:cs="Arial"/>
          <w:sz w:val="21"/>
          <w:szCs w:val="21"/>
        </w:rPr>
        <w:t>年年度股东大会审议通过了公司董事会、监事会换届选举的相关议案，同日，公司召开第六届董事会第一次会议及第六届监事会第一次会议，选举产生了第六届董事会董事长、董事会专门委员会委员及第六届监事会主席，并聘任新一届高级管理人员及证券事务代表，完成了公司董事会、监事会换届选举工作。</w:t>
      </w:r>
    </w:p>
    <w:p w:rsidR="0088573D" w:rsidRPr="0088573D" w:rsidRDefault="0088573D" w:rsidP="00E06F28">
      <w:pPr>
        <w:pStyle w:val="af0"/>
        <w:spacing w:beforeLines="25" w:before="78" w:beforeAutospacing="0" w:afterAutospacing="0" w:line="324" w:lineRule="auto"/>
        <w:ind w:firstLineChars="200" w:firstLine="420"/>
        <w:jc w:val="both"/>
        <w:rPr>
          <w:rFonts w:ascii="Arial" w:eastAsiaTheme="minorEastAsia" w:hAnsi="Arial" w:cs="Arial"/>
        </w:rPr>
      </w:pPr>
      <w:r w:rsidRPr="0088573D">
        <w:rPr>
          <w:rFonts w:ascii="Arial" w:eastAsiaTheme="minorEastAsia" w:hAnsiTheme="minorEastAsia" w:cs="Arial"/>
          <w:sz w:val="21"/>
          <w:szCs w:val="21"/>
        </w:rPr>
        <w:t>具体内容详见公司于</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w:t>
      </w:r>
      <w:r w:rsidRPr="0088573D">
        <w:rPr>
          <w:rFonts w:ascii="Arial" w:eastAsiaTheme="minorEastAsia" w:hAnsi="Arial" w:cs="Arial"/>
          <w:sz w:val="21"/>
          <w:szCs w:val="21"/>
        </w:rPr>
        <w:t>4</w:t>
      </w:r>
      <w:r w:rsidRPr="0088573D">
        <w:rPr>
          <w:rFonts w:ascii="Arial" w:eastAsiaTheme="minorEastAsia" w:hAnsiTheme="minorEastAsia" w:cs="Arial"/>
          <w:sz w:val="21"/>
          <w:szCs w:val="21"/>
        </w:rPr>
        <w:t>月</w:t>
      </w:r>
      <w:r w:rsidRPr="0088573D">
        <w:rPr>
          <w:rFonts w:ascii="Arial" w:eastAsiaTheme="minorEastAsia" w:hAnsi="Arial" w:cs="Arial"/>
          <w:sz w:val="21"/>
          <w:szCs w:val="21"/>
        </w:rPr>
        <w:t>25</w:t>
      </w:r>
      <w:r w:rsidRPr="0088573D">
        <w:rPr>
          <w:rFonts w:ascii="Arial" w:eastAsiaTheme="minorEastAsia" w:hAnsiTheme="minorEastAsia" w:cs="Arial"/>
          <w:sz w:val="21"/>
          <w:szCs w:val="21"/>
        </w:rPr>
        <w:t>日在巨潮资讯网（</w:t>
      </w:r>
      <w:hyperlink r:id="rId43" w:history="1">
        <w:r w:rsidRPr="0088573D">
          <w:rPr>
            <w:rStyle w:val="af3"/>
            <w:rFonts w:eastAsiaTheme="minorEastAsia"/>
            <w:color w:val="auto"/>
            <w:sz w:val="21"/>
            <w:szCs w:val="21"/>
            <w:u w:val="none"/>
          </w:rPr>
          <w:t>www.cninfo.com.cn</w:t>
        </w:r>
      </w:hyperlink>
      <w:r w:rsidRPr="0088573D">
        <w:rPr>
          <w:rFonts w:ascii="Arial" w:eastAsiaTheme="minorEastAsia" w:hAnsiTheme="minorEastAsia" w:cs="Arial"/>
          <w:sz w:val="21"/>
          <w:szCs w:val="21"/>
        </w:rPr>
        <w:t>）上披露的《关于董事会、监事会完成换届选举及聘任高级管理人员、证券事务代表的公告》（公告编号：</w:t>
      </w:r>
      <w:r w:rsidRPr="0088573D">
        <w:rPr>
          <w:rFonts w:ascii="Arial" w:eastAsiaTheme="minorEastAsia" w:hAnsi="Arial" w:cs="Arial"/>
          <w:sz w:val="21"/>
          <w:szCs w:val="21"/>
        </w:rPr>
        <w:t>2024-031</w:t>
      </w:r>
      <w:r w:rsidRPr="0088573D">
        <w:rPr>
          <w:rFonts w:ascii="Arial" w:eastAsiaTheme="minorEastAsia" w:hAnsiTheme="minorEastAsia" w:cs="Arial"/>
          <w:sz w:val="21"/>
          <w:szCs w:val="21"/>
        </w:rPr>
        <w:t>）。</w:t>
      </w:r>
    </w:p>
    <w:p w:rsidR="00B0153A" w:rsidRPr="0088573D" w:rsidRDefault="00B0153A" w:rsidP="00B0153A">
      <w:pPr>
        <w:pStyle w:val="af0"/>
        <w:spacing w:beforeLines="25" w:before="78" w:beforeAutospacing="0" w:afterAutospacing="0" w:line="324" w:lineRule="auto"/>
        <w:ind w:firstLineChars="200" w:firstLine="422"/>
        <w:jc w:val="both"/>
        <w:rPr>
          <w:rFonts w:ascii="Arial" w:eastAsiaTheme="minorEastAsia" w:hAnsi="Arial" w:cs="Arial"/>
          <w:sz w:val="21"/>
          <w:szCs w:val="21"/>
        </w:rPr>
      </w:pPr>
      <w:r w:rsidRPr="0088573D">
        <w:rPr>
          <w:rStyle w:val="af1"/>
          <w:rFonts w:ascii="Arial" w:eastAsiaTheme="minorEastAsia" w:hAnsiTheme="minorEastAsia" w:cs="Arial"/>
          <w:sz w:val="21"/>
          <w:szCs w:val="21"/>
        </w:rPr>
        <w:t>（</w:t>
      </w:r>
      <w:r>
        <w:rPr>
          <w:rStyle w:val="af1"/>
          <w:rFonts w:ascii="Arial" w:eastAsiaTheme="minorEastAsia" w:hAnsiTheme="minorEastAsia" w:cs="Arial" w:hint="eastAsia"/>
          <w:sz w:val="21"/>
          <w:szCs w:val="21"/>
        </w:rPr>
        <w:t>二</w:t>
      </w:r>
      <w:r w:rsidRPr="0088573D">
        <w:rPr>
          <w:rStyle w:val="af1"/>
          <w:rFonts w:ascii="Arial" w:eastAsiaTheme="minorEastAsia" w:hAnsiTheme="minorEastAsia" w:cs="Arial"/>
          <w:sz w:val="21"/>
          <w:szCs w:val="21"/>
        </w:rPr>
        <w:t>）</w:t>
      </w:r>
      <w:r w:rsidRPr="0088573D">
        <w:rPr>
          <w:rStyle w:val="af1"/>
          <w:rFonts w:ascii="Arial" w:eastAsiaTheme="minorEastAsia" w:hAnsi="Arial" w:cs="Arial"/>
          <w:sz w:val="21"/>
          <w:szCs w:val="21"/>
        </w:rPr>
        <w:t>2024</w:t>
      </w:r>
      <w:r w:rsidRPr="0088573D">
        <w:rPr>
          <w:rStyle w:val="af1"/>
          <w:rFonts w:ascii="Arial" w:eastAsiaTheme="minorEastAsia" w:hAnsiTheme="minorEastAsia" w:cs="Arial"/>
          <w:sz w:val="21"/>
          <w:szCs w:val="21"/>
        </w:rPr>
        <w:t>年限制性股票激励计划事项</w:t>
      </w:r>
    </w:p>
    <w:p w:rsidR="00B0153A" w:rsidRPr="0088573D" w:rsidRDefault="00B0153A" w:rsidP="00B0153A">
      <w:pPr>
        <w:pStyle w:val="af0"/>
        <w:spacing w:beforeLines="25" w:before="78" w:beforeAutospacing="0" w:afterAutospacing="0" w:line="324" w:lineRule="auto"/>
        <w:ind w:firstLineChars="200" w:firstLine="420"/>
        <w:jc w:val="both"/>
        <w:rPr>
          <w:rFonts w:ascii="Arial" w:eastAsiaTheme="minorEastAsia" w:hAnsi="Arial" w:cs="Arial"/>
          <w:szCs w:val="24"/>
        </w:rPr>
      </w:pPr>
      <w:r w:rsidRPr="0088573D">
        <w:rPr>
          <w:rFonts w:ascii="Arial" w:eastAsiaTheme="minorEastAsia" w:hAnsi="Arial" w:cs="Arial"/>
          <w:sz w:val="21"/>
          <w:szCs w:val="21"/>
        </w:rPr>
        <w:t>2024</w:t>
      </w:r>
      <w:r w:rsidRPr="0088573D">
        <w:rPr>
          <w:rFonts w:ascii="Arial" w:eastAsiaTheme="minorEastAsia" w:hAnsiTheme="minorEastAsia" w:cs="Arial"/>
          <w:sz w:val="21"/>
          <w:szCs w:val="21"/>
        </w:rPr>
        <w:t>年，为深入贯彻落实国企改革三年行动方案精神，积极推进公司中长期激励机制建设，充分激发企业活力，有效调动核心人才的积极性与创造力，公司积极开展实施股权激励计划。</w:t>
      </w:r>
    </w:p>
    <w:p w:rsidR="00B0153A" w:rsidRPr="0088573D" w:rsidRDefault="00B0153A" w:rsidP="00B0153A">
      <w:pPr>
        <w:pStyle w:val="af0"/>
        <w:spacing w:beforeLines="25" w:before="78" w:beforeAutospacing="0" w:afterAutospacing="0" w:line="324" w:lineRule="auto"/>
        <w:ind w:firstLineChars="200" w:firstLine="420"/>
        <w:jc w:val="both"/>
        <w:rPr>
          <w:rFonts w:ascii="Arial" w:eastAsiaTheme="minorEastAsia" w:hAnsi="Arial" w:cs="Arial"/>
        </w:rPr>
      </w:pPr>
      <w:r w:rsidRPr="0088573D">
        <w:rPr>
          <w:rFonts w:ascii="Arial" w:eastAsiaTheme="minorEastAsia" w:hAnsi="Arial" w:cs="Arial"/>
          <w:sz w:val="21"/>
          <w:szCs w:val="21"/>
        </w:rPr>
        <w:t>2024</w:t>
      </w:r>
      <w:r w:rsidRPr="0088573D">
        <w:rPr>
          <w:rFonts w:ascii="Arial" w:eastAsiaTheme="minorEastAsia" w:hAnsiTheme="minorEastAsia" w:cs="Arial"/>
          <w:sz w:val="21"/>
          <w:szCs w:val="21"/>
        </w:rPr>
        <w:t>年</w:t>
      </w:r>
      <w:r w:rsidRPr="0088573D">
        <w:rPr>
          <w:rFonts w:ascii="Arial" w:eastAsiaTheme="minorEastAsia" w:hAnsi="Arial" w:cs="Arial"/>
          <w:sz w:val="21"/>
          <w:szCs w:val="21"/>
        </w:rPr>
        <w:t>8</w:t>
      </w:r>
      <w:r w:rsidRPr="0088573D">
        <w:rPr>
          <w:rFonts w:ascii="Arial" w:eastAsiaTheme="minorEastAsia" w:hAnsiTheme="minorEastAsia" w:cs="Arial"/>
          <w:sz w:val="21"/>
          <w:szCs w:val="21"/>
        </w:rPr>
        <w:t>月</w:t>
      </w:r>
      <w:r w:rsidRPr="0088573D">
        <w:rPr>
          <w:rFonts w:ascii="Arial" w:eastAsiaTheme="minorEastAsia" w:hAnsi="Arial" w:cs="Arial"/>
          <w:sz w:val="21"/>
          <w:szCs w:val="21"/>
        </w:rPr>
        <w:t>12</w:t>
      </w:r>
      <w:r w:rsidRPr="0088573D">
        <w:rPr>
          <w:rFonts w:ascii="Arial" w:eastAsiaTheme="minorEastAsia" w:hAnsiTheme="minorEastAsia" w:cs="Arial"/>
          <w:sz w:val="21"/>
          <w:szCs w:val="21"/>
        </w:rPr>
        <w:t>日，公司召开第六届董事会第三次会议，审议通过了《关于公司〈</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年限制性股票激励计划（草案）〉及其摘要的议案》等议案。</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w:t>
      </w:r>
      <w:r w:rsidRPr="0088573D">
        <w:rPr>
          <w:rFonts w:ascii="Arial" w:eastAsiaTheme="minorEastAsia" w:hAnsi="Arial" w:cs="Arial"/>
          <w:sz w:val="21"/>
          <w:szCs w:val="21"/>
        </w:rPr>
        <w:t>12</w:t>
      </w:r>
      <w:r w:rsidRPr="0088573D">
        <w:rPr>
          <w:rFonts w:ascii="Arial" w:eastAsiaTheme="minorEastAsia" w:hAnsiTheme="minorEastAsia" w:cs="Arial"/>
          <w:sz w:val="21"/>
          <w:szCs w:val="21"/>
        </w:rPr>
        <w:t>月</w:t>
      </w:r>
      <w:r w:rsidRPr="0088573D">
        <w:rPr>
          <w:rFonts w:ascii="Arial" w:eastAsiaTheme="minorEastAsia" w:hAnsi="Arial" w:cs="Arial"/>
          <w:sz w:val="21"/>
          <w:szCs w:val="21"/>
        </w:rPr>
        <w:t>30</w:t>
      </w:r>
      <w:r w:rsidRPr="0088573D">
        <w:rPr>
          <w:rFonts w:ascii="Arial" w:eastAsiaTheme="minorEastAsia" w:hAnsiTheme="minorEastAsia" w:cs="Arial"/>
          <w:sz w:val="21"/>
          <w:szCs w:val="21"/>
        </w:rPr>
        <w:t>日，公司召开</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年第二次临时股东大会，审议并通过了《关于公司〈</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年限制性股票激励计划（草案修订稿）〉及其摘要的议案》等议案，公司实施</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年限制性股票激励计划获得股东大会批</w:t>
      </w:r>
      <w:r w:rsidR="0053599B">
        <w:rPr>
          <w:rFonts w:ascii="Arial" w:eastAsiaTheme="minorEastAsia" w:hAnsiTheme="minorEastAsia" w:cs="Arial" w:hint="eastAsia"/>
          <w:sz w:val="21"/>
          <w:szCs w:val="21"/>
        </w:rPr>
        <w:t>准</w:t>
      </w:r>
      <w:r w:rsidRPr="0088573D">
        <w:rPr>
          <w:rFonts w:ascii="Arial" w:eastAsiaTheme="minorEastAsia" w:hAnsiTheme="minorEastAsia" w:cs="Arial"/>
          <w:sz w:val="21"/>
          <w:szCs w:val="21"/>
        </w:rPr>
        <w:t>。</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w:t>
      </w:r>
      <w:r w:rsidRPr="0088573D">
        <w:rPr>
          <w:rFonts w:ascii="Arial" w:eastAsiaTheme="minorEastAsia" w:hAnsi="Arial" w:cs="Arial"/>
          <w:sz w:val="21"/>
          <w:szCs w:val="21"/>
        </w:rPr>
        <w:t>12</w:t>
      </w:r>
      <w:r w:rsidRPr="0088573D">
        <w:rPr>
          <w:rFonts w:ascii="Arial" w:eastAsiaTheme="minorEastAsia" w:hAnsiTheme="minorEastAsia" w:cs="Arial"/>
          <w:sz w:val="21"/>
          <w:szCs w:val="21"/>
        </w:rPr>
        <w:t>月</w:t>
      </w:r>
      <w:r w:rsidRPr="0088573D">
        <w:rPr>
          <w:rFonts w:ascii="Arial" w:eastAsiaTheme="minorEastAsia" w:hAnsi="Arial" w:cs="Arial"/>
          <w:sz w:val="21"/>
          <w:szCs w:val="21"/>
        </w:rPr>
        <w:t>30</w:t>
      </w:r>
      <w:r w:rsidRPr="0088573D">
        <w:rPr>
          <w:rFonts w:ascii="Arial" w:eastAsiaTheme="minorEastAsia" w:hAnsiTheme="minorEastAsia" w:cs="Arial"/>
          <w:sz w:val="21"/>
          <w:szCs w:val="21"/>
        </w:rPr>
        <w:t>日，公司召开第六届董事会第七次会议与第六届监事会第六会议，审议通过了《关于调整公司</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年限制性股票激励计划首次授予激励对象名单及授予数量的议案》《关于向</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年限制性股票激励计划激励对象首次授予限制性股票的议案》，董事会确定以</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w:t>
      </w:r>
      <w:r w:rsidRPr="0088573D">
        <w:rPr>
          <w:rFonts w:ascii="Arial" w:eastAsiaTheme="minorEastAsia" w:hAnsi="Arial" w:cs="Arial"/>
          <w:sz w:val="21"/>
          <w:szCs w:val="21"/>
        </w:rPr>
        <w:t>12</w:t>
      </w:r>
      <w:r w:rsidRPr="0088573D">
        <w:rPr>
          <w:rFonts w:ascii="Arial" w:eastAsiaTheme="minorEastAsia" w:hAnsiTheme="minorEastAsia" w:cs="Arial"/>
          <w:sz w:val="21"/>
          <w:szCs w:val="21"/>
        </w:rPr>
        <w:t>月</w:t>
      </w:r>
      <w:r w:rsidRPr="0088573D">
        <w:rPr>
          <w:rFonts w:ascii="Arial" w:eastAsiaTheme="minorEastAsia" w:hAnsi="Arial" w:cs="Arial"/>
          <w:sz w:val="21"/>
          <w:szCs w:val="21"/>
        </w:rPr>
        <w:t>30</w:t>
      </w:r>
      <w:r w:rsidRPr="0088573D">
        <w:rPr>
          <w:rFonts w:ascii="Arial" w:eastAsiaTheme="minorEastAsia" w:hAnsiTheme="minorEastAsia" w:cs="Arial"/>
          <w:sz w:val="21"/>
          <w:szCs w:val="21"/>
        </w:rPr>
        <w:t>日为首次授予日，向符合条件的</w:t>
      </w:r>
      <w:r w:rsidRPr="0088573D">
        <w:rPr>
          <w:rFonts w:ascii="Arial" w:eastAsiaTheme="minorEastAsia" w:hAnsi="Arial" w:cs="Arial"/>
          <w:sz w:val="21"/>
          <w:szCs w:val="21"/>
        </w:rPr>
        <w:t>100</w:t>
      </w:r>
      <w:r w:rsidRPr="0088573D">
        <w:rPr>
          <w:rFonts w:ascii="Arial" w:eastAsiaTheme="minorEastAsia" w:hAnsiTheme="minorEastAsia" w:cs="Arial"/>
          <w:sz w:val="21"/>
          <w:szCs w:val="21"/>
        </w:rPr>
        <w:t>名首次授予激励对象授予</w:t>
      </w:r>
      <w:r w:rsidRPr="0088573D">
        <w:rPr>
          <w:rFonts w:ascii="Arial" w:eastAsiaTheme="minorEastAsia" w:hAnsi="Arial" w:cs="Arial"/>
          <w:sz w:val="21"/>
          <w:szCs w:val="21"/>
        </w:rPr>
        <w:t>321.20</w:t>
      </w:r>
      <w:r w:rsidRPr="0088573D">
        <w:rPr>
          <w:rFonts w:ascii="Arial" w:eastAsiaTheme="minorEastAsia" w:hAnsiTheme="minorEastAsia" w:cs="Arial"/>
          <w:sz w:val="21"/>
          <w:szCs w:val="21"/>
        </w:rPr>
        <w:t>万股第一类限制性股票，授予价格为</w:t>
      </w:r>
      <w:r w:rsidRPr="0088573D">
        <w:rPr>
          <w:rFonts w:ascii="Arial" w:eastAsiaTheme="minorEastAsia" w:hAnsi="Arial" w:cs="Arial"/>
          <w:sz w:val="21"/>
          <w:szCs w:val="21"/>
        </w:rPr>
        <w:t>6.38</w:t>
      </w:r>
      <w:r w:rsidRPr="0088573D">
        <w:rPr>
          <w:rFonts w:ascii="Arial" w:eastAsiaTheme="minorEastAsia" w:hAnsiTheme="minorEastAsia" w:cs="Arial"/>
          <w:sz w:val="21"/>
          <w:szCs w:val="21"/>
        </w:rPr>
        <w:t>元</w:t>
      </w:r>
      <w:r w:rsidRPr="0088573D">
        <w:rPr>
          <w:rFonts w:ascii="Arial" w:eastAsiaTheme="minorEastAsia" w:hAnsi="Arial" w:cs="Arial"/>
          <w:sz w:val="21"/>
          <w:szCs w:val="21"/>
        </w:rPr>
        <w:t>/</w:t>
      </w:r>
      <w:r w:rsidRPr="0088573D">
        <w:rPr>
          <w:rFonts w:ascii="Arial" w:eastAsiaTheme="minorEastAsia" w:hAnsiTheme="minorEastAsia" w:cs="Arial"/>
          <w:sz w:val="21"/>
          <w:szCs w:val="21"/>
        </w:rPr>
        <w:t>股。</w:t>
      </w:r>
    </w:p>
    <w:p w:rsidR="00B0153A" w:rsidRPr="0088573D" w:rsidRDefault="00B0153A" w:rsidP="00B0153A">
      <w:pPr>
        <w:pStyle w:val="af0"/>
        <w:spacing w:beforeLines="25" w:before="78" w:beforeAutospacing="0" w:afterAutospacing="0" w:line="324" w:lineRule="auto"/>
        <w:ind w:firstLineChars="200" w:firstLine="420"/>
        <w:jc w:val="both"/>
        <w:rPr>
          <w:rFonts w:ascii="Arial" w:eastAsiaTheme="minorEastAsia" w:hAnsi="Arial" w:cs="Arial"/>
        </w:rPr>
      </w:pPr>
      <w:r w:rsidRPr="0088573D">
        <w:rPr>
          <w:rFonts w:ascii="Arial" w:eastAsiaTheme="minorEastAsia" w:hAnsi="Arial" w:cs="Arial"/>
          <w:sz w:val="21"/>
          <w:szCs w:val="21"/>
        </w:rPr>
        <w:t>2025</w:t>
      </w:r>
      <w:r w:rsidRPr="0088573D">
        <w:rPr>
          <w:rFonts w:ascii="Arial" w:eastAsiaTheme="minorEastAsia" w:hAnsiTheme="minorEastAsia" w:cs="Arial"/>
          <w:sz w:val="21"/>
          <w:szCs w:val="21"/>
        </w:rPr>
        <w:t>年</w:t>
      </w:r>
      <w:r w:rsidRPr="0088573D">
        <w:rPr>
          <w:rFonts w:ascii="Arial" w:eastAsiaTheme="minorEastAsia" w:hAnsi="Arial" w:cs="Arial"/>
          <w:sz w:val="21"/>
          <w:szCs w:val="21"/>
        </w:rPr>
        <w:t>2</w:t>
      </w:r>
      <w:r w:rsidRPr="0088573D">
        <w:rPr>
          <w:rFonts w:ascii="Arial" w:eastAsiaTheme="minorEastAsia" w:hAnsiTheme="minorEastAsia" w:cs="Arial"/>
          <w:sz w:val="21"/>
          <w:szCs w:val="21"/>
        </w:rPr>
        <w:t>月</w:t>
      </w:r>
      <w:r w:rsidRPr="0088573D">
        <w:rPr>
          <w:rFonts w:ascii="Arial" w:eastAsiaTheme="minorEastAsia" w:hAnsi="Arial" w:cs="Arial"/>
          <w:sz w:val="21"/>
          <w:szCs w:val="21"/>
        </w:rPr>
        <w:t>17</w:t>
      </w:r>
      <w:r w:rsidRPr="0088573D">
        <w:rPr>
          <w:rFonts w:ascii="Arial" w:eastAsiaTheme="minorEastAsia" w:hAnsiTheme="minorEastAsia" w:cs="Arial"/>
          <w:sz w:val="21"/>
          <w:szCs w:val="21"/>
        </w:rPr>
        <w:t>日，公司披露了《关于</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年限制性股票激励计划首次授予登记完成的公告》，公司董事会完成了</w:t>
      </w:r>
      <w:r w:rsidRPr="0088573D">
        <w:rPr>
          <w:rFonts w:ascii="Arial" w:eastAsiaTheme="minorEastAsia" w:hAnsi="Arial" w:cs="Arial"/>
          <w:sz w:val="21"/>
          <w:szCs w:val="21"/>
        </w:rPr>
        <w:t xml:space="preserve"> 2024 </w:t>
      </w:r>
      <w:r w:rsidRPr="0088573D">
        <w:rPr>
          <w:rFonts w:ascii="Arial" w:eastAsiaTheme="minorEastAsia" w:hAnsiTheme="minorEastAsia" w:cs="Arial"/>
          <w:sz w:val="21"/>
          <w:szCs w:val="21"/>
        </w:rPr>
        <w:t>年限制性股票激励计划的首次授予登记工作。在确定首次授予日后的资金缴纳过程中，</w:t>
      </w:r>
      <w:r w:rsidRPr="0088573D">
        <w:rPr>
          <w:rFonts w:ascii="Arial" w:eastAsiaTheme="minorEastAsia" w:hAnsi="Arial" w:cs="Arial"/>
          <w:sz w:val="21"/>
          <w:szCs w:val="21"/>
        </w:rPr>
        <w:t>1</w:t>
      </w:r>
      <w:r w:rsidRPr="0088573D">
        <w:rPr>
          <w:rFonts w:ascii="Arial" w:eastAsiaTheme="minorEastAsia" w:hAnsiTheme="minorEastAsia" w:cs="Arial"/>
          <w:sz w:val="21"/>
          <w:szCs w:val="21"/>
        </w:rPr>
        <w:t>名激励对象因个人原因自愿放弃认购其全部获授的</w:t>
      </w:r>
      <w:r w:rsidRPr="0088573D">
        <w:rPr>
          <w:rFonts w:ascii="Arial" w:eastAsiaTheme="minorEastAsia" w:hAnsi="Arial" w:cs="Arial"/>
          <w:sz w:val="21"/>
          <w:szCs w:val="21"/>
        </w:rPr>
        <w:t>4</w:t>
      </w:r>
      <w:r w:rsidRPr="0088573D">
        <w:rPr>
          <w:rFonts w:ascii="Arial" w:eastAsiaTheme="minorEastAsia" w:hAnsiTheme="minorEastAsia" w:cs="Arial"/>
          <w:sz w:val="21"/>
          <w:szCs w:val="21"/>
        </w:rPr>
        <w:t>万股限制性股票，放弃部分权益作废。因此，本激励计划首次授予激励对象人数实际为</w:t>
      </w:r>
      <w:r w:rsidRPr="0088573D">
        <w:rPr>
          <w:rFonts w:ascii="Arial" w:eastAsiaTheme="minorEastAsia" w:hAnsi="Arial" w:cs="Arial"/>
          <w:sz w:val="21"/>
          <w:szCs w:val="21"/>
        </w:rPr>
        <w:t>99</w:t>
      </w:r>
      <w:r w:rsidRPr="0088573D">
        <w:rPr>
          <w:rFonts w:ascii="Arial" w:eastAsiaTheme="minorEastAsia" w:hAnsiTheme="minorEastAsia" w:cs="Arial"/>
          <w:sz w:val="21"/>
          <w:szCs w:val="21"/>
        </w:rPr>
        <w:t>人，首次授予数量实际为</w:t>
      </w:r>
      <w:r w:rsidRPr="0088573D">
        <w:rPr>
          <w:rFonts w:ascii="Arial" w:eastAsiaTheme="minorEastAsia" w:hAnsi="Arial" w:cs="Arial"/>
          <w:sz w:val="21"/>
          <w:szCs w:val="21"/>
        </w:rPr>
        <w:t>317.20</w:t>
      </w:r>
      <w:r w:rsidRPr="0088573D">
        <w:rPr>
          <w:rFonts w:ascii="Arial" w:eastAsiaTheme="minorEastAsia" w:hAnsiTheme="minorEastAsia" w:cs="Arial"/>
          <w:sz w:val="21"/>
          <w:szCs w:val="21"/>
        </w:rPr>
        <w:t>万股第一类限制性股票，新增股份上市日期为</w:t>
      </w:r>
      <w:r w:rsidRPr="0088573D">
        <w:rPr>
          <w:rFonts w:ascii="Arial" w:eastAsiaTheme="minorEastAsia" w:hAnsi="Arial" w:cs="Arial"/>
          <w:sz w:val="21"/>
          <w:szCs w:val="21"/>
        </w:rPr>
        <w:t>2025</w:t>
      </w:r>
      <w:r w:rsidRPr="0088573D">
        <w:rPr>
          <w:rFonts w:ascii="Arial" w:eastAsiaTheme="minorEastAsia" w:hAnsiTheme="minorEastAsia" w:cs="Arial"/>
          <w:sz w:val="21"/>
          <w:szCs w:val="21"/>
        </w:rPr>
        <w:t>年</w:t>
      </w:r>
      <w:r w:rsidRPr="0088573D">
        <w:rPr>
          <w:rFonts w:ascii="Arial" w:eastAsiaTheme="minorEastAsia" w:hAnsi="Arial" w:cs="Arial"/>
          <w:sz w:val="21"/>
          <w:szCs w:val="21"/>
        </w:rPr>
        <w:t>2</w:t>
      </w:r>
      <w:r w:rsidRPr="0088573D">
        <w:rPr>
          <w:rFonts w:ascii="Arial" w:eastAsiaTheme="minorEastAsia" w:hAnsiTheme="minorEastAsia" w:cs="Arial"/>
          <w:sz w:val="21"/>
          <w:szCs w:val="21"/>
        </w:rPr>
        <w:t>月</w:t>
      </w:r>
      <w:r w:rsidRPr="0088573D">
        <w:rPr>
          <w:rFonts w:ascii="Arial" w:eastAsiaTheme="minorEastAsia" w:hAnsi="Arial" w:cs="Arial"/>
          <w:sz w:val="21"/>
          <w:szCs w:val="21"/>
        </w:rPr>
        <w:t>19</w:t>
      </w:r>
      <w:r w:rsidRPr="0088573D">
        <w:rPr>
          <w:rFonts w:ascii="Arial" w:eastAsiaTheme="minorEastAsia" w:hAnsiTheme="minorEastAsia" w:cs="Arial"/>
          <w:sz w:val="21"/>
          <w:szCs w:val="21"/>
        </w:rPr>
        <w:t>日。</w:t>
      </w:r>
    </w:p>
    <w:p w:rsidR="00B0153A" w:rsidRPr="0088573D" w:rsidRDefault="00B0153A" w:rsidP="00B0153A">
      <w:pPr>
        <w:pStyle w:val="af0"/>
        <w:spacing w:beforeLines="25" w:before="78" w:beforeAutospacing="0" w:afterAutospacing="0" w:line="324" w:lineRule="auto"/>
        <w:ind w:firstLineChars="200" w:firstLine="420"/>
        <w:jc w:val="both"/>
        <w:rPr>
          <w:rFonts w:ascii="Arial" w:eastAsiaTheme="minorEastAsia" w:hAnsi="Arial" w:cs="Arial"/>
        </w:rPr>
      </w:pPr>
      <w:r w:rsidRPr="0088573D">
        <w:rPr>
          <w:rFonts w:ascii="Arial" w:eastAsiaTheme="minorEastAsia" w:hAnsiTheme="minorEastAsia" w:cs="Arial"/>
          <w:sz w:val="21"/>
          <w:szCs w:val="21"/>
        </w:rPr>
        <w:t>具体内容详见公司分别于</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w:t>
      </w:r>
      <w:r w:rsidRPr="0088573D">
        <w:rPr>
          <w:rFonts w:ascii="Arial" w:eastAsiaTheme="minorEastAsia" w:hAnsi="Arial" w:cs="Arial"/>
          <w:sz w:val="21"/>
          <w:szCs w:val="21"/>
        </w:rPr>
        <w:t>8</w:t>
      </w:r>
      <w:r w:rsidRPr="0088573D">
        <w:rPr>
          <w:rFonts w:ascii="Arial" w:eastAsiaTheme="minorEastAsia" w:hAnsiTheme="minorEastAsia" w:cs="Arial"/>
          <w:sz w:val="21"/>
          <w:szCs w:val="21"/>
        </w:rPr>
        <w:t>月</w:t>
      </w:r>
      <w:r w:rsidRPr="0088573D">
        <w:rPr>
          <w:rFonts w:ascii="Arial" w:eastAsiaTheme="minorEastAsia" w:hAnsi="Arial" w:cs="Arial"/>
          <w:sz w:val="21"/>
          <w:szCs w:val="21"/>
        </w:rPr>
        <w:t>13</w:t>
      </w:r>
      <w:r w:rsidRPr="0088573D">
        <w:rPr>
          <w:rFonts w:ascii="Arial" w:eastAsiaTheme="minorEastAsia" w:hAnsiTheme="minorEastAsia" w:cs="Arial"/>
          <w:sz w:val="21"/>
          <w:szCs w:val="21"/>
        </w:rPr>
        <w:t>日、</w:t>
      </w:r>
      <w:r w:rsidRPr="0088573D">
        <w:rPr>
          <w:rFonts w:ascii="Arial" w:eastAsiaTheme="minorEastAsia" w:hAnsi="Arial" w:cs="Arial"/>
          <w:sz w:val="21"/>
          <w:szCs w:val="21"/>
        </w:rPr>
        <w:t>12</w:t>
      </w:r>
      <w:r w:rsidRPr="0088573D">
        <w:rPr>
          <w:rFonts w:ascii="Arial" w:eastAsiaTheme="minorEastAsia" w:hAnsiTheme="minorEastAsia" w:cs="Arial"/>
          <w:sz w:val="21"/>
          <w:szCs w:val="21"/>
        </w:rPr>
        <w:t>月</w:t>
      </w:r>
      <w:r w:rsidRPr="0088573D">
        <w:rPr>
          <w:rFonts w:ascii="Arial" w:eastAsiaTheme="minorEastAsia" w:hAnsi="Arial" w:cs="Arial"/>
          <w:sz w:val="21"/>
          <w:szCs w:val="21"/>
        </w:rPr>
        <w:t>14</w:t>
      </w:r>
      <w:r w:rsidRPr="0088573D">
        <w:rPr>
          <w:rFonts w:ascii="Arial" w:eastAsiaTheme="minorEastAsia" w:hAnsiTheme="minorEastAsia" w:cs="Arial"/>
          <w:sz w:val="21"/>
          <w:szCs w:val="21"/>
        </w:rPr>
        <w:t>日、</w:t>
      </w:r>
      <w:r w:rsidRPr="0088573D">
        <w:rPr>
          <w:rFonts w:ascii="Arial" w:eastAsiaTheme="minorEastAsia" w:hAnsi="Arial" w:cs="Arial"/>
          <w:sz w:val="21"/>
          <w:szCs w:val="21"/>
        </w:rPr>
        <w:t>12</w:t>
      </w:r>
      <w:r w:rsidRPr="0088573D">
        <w:rPr>
          <w:rFonts w:ascii="Arial" w:eastAsiaTheme="minorEastAsia" w:hAnsiTheme="minorEastAsia" w:cs="Arial"/>
          <w:sz w:val="21"/>
          <w:szCs w:val="21"/>
        </w:rPr>
        <w:t>月</w:t>
      </w:r>
      <w:r w:rsidRPr="0088573D">
        <w:rPr>
          <w:rFonts w:ascii="Arial" w:eastAsiaTheme="minorEastAsia" w:hAnsi="Arial" w:cs="Arial"/>
          <w:sz w:val="21"/>
          <w:szCs w:val="21"/>
        </w:rPr>
        <w:t>24</w:t>
      </w:r>
      <w:r w:rsidRPr="0088573D">
        <w:rPr>
          <w:rFonts w:ascii="Arial" w:eastAsiaTheme="minorEastAsia" w:hAnsiTheme="minorEastAsia" w:cs="Arial"/>
          <w:sz w:val="21"/>
          <w:szCs w:val="21"/>
        </w:rPr>
        <w:t>日、</w:t>
      </w:r>
      <w:r w:rsidRPr="0088573D">
        <w:rPr>
          <w:rFonts w:ascii="Arial" w:eastAsiaTheme="minorEastAsia" w:hAnsi="Arial" w:cs="Arial"/>
          <w:sz w:val="21"/>
          <w:szCs w:val="21"/>
        </w:rPr>
        <w:t>12</w:t>
      </w:r>
      <w:r w:rsidRPr="0088573D">
        <w:rPr>
          <w:rFonts w:ascii="Arial" w:eastAsiaTheme="minorEastAsia" w:hAnsiTheme="minorEastAsia" w:cs="Arial"/>
          <w:sz w:val="21"/>
          <w:szCs w:val="21"/>
        </w:rPr>
        <w:t>月</w:t>
      </w:r>
      <w:r w:rsidRPr="0088573D">
        <w:rPr>
          <w:rFonts w:ascii="Arial" w:eastAsiaTheme="minorEastAsia" w:hAnsi="Arial" w:cs="Arial"/>
          <w:sz w:val="21"/>
          <w:szCs w:val="21"/>
        </w:rPr>
        <w:t>26</w:t>
      </w:r>
      <w:r w:rsidRPr="0088573D">
        <w:rPr>
          <w:rFonts w:ascii="Arial" w:eastAsiaTheme="minorEastAsia" w:hAnsiTheme="minorEastAsia" w:cs="Arial"/>
          <w:sz w:val="21"/>
          <w:szCs w:val="21"/>
        </w:rPr>
        <w:t>日、</w:t>
      </w:r>
      <w:r w:rsidRPr="0088573D">
        <w:rPr>
          <w:rFonts w:ascii="Arial" w:eastAsiaTheme="minorEastAsia" w:hAnsi="Arial" w:cs="Arial"/>
          <w:sz w:val="21"/>
          <w:szCs w:val="21"/>
        </w:rPr>
        <w:t>12</w:t>
      </w:r>
      <w:r w:rsidRPr="0088573D">
        <w:rPr>
          <w:rFonts w:ascii="Arial" w:eastAsiaTheme="minorEastAsia" w:hAnsiTheme="minorEastAsia" w:cs="Arial"/>
          <w:sz w:val="21"/>
          <w:szCs w:val="21"/>
        </w:rPr>
        <w:t>月</w:t>
      </w:r>
      <w:r w:rsidRPr="0088573D">
        <w:rPr>
          <w:rFonts w:ascii="Arial" w:eastAsiaTheme="minorEastAsia" w:hAnsi="Arial" w:cs="Arial"/>
          <w:sz w:val="21"/>
          <w:szCs w:val="21"/>
        </w:rPr>
        <w:t>30</w:t>
      </w:r>
      <w:r w:rsidRPr="0088573D">
        <w:rPr>
          <w:rFonts w:ascii="Arial" w:eastAsiaTheme="minorEastAsia" w:hAnsiTheme="minorEastAsia" w:cs="Arial"/>
          <w:sz w:val="21"/>
          <w:szCs w:val="21"/>
        </w:rPr>
        <w:t>日、</w:t>
      </w:r>
      <w:r w:rsidRPr="0088573D">
        <w:rPr>
          <w:rFonts w:ascii="Arial" w:eastAsiaTheme="minorEastAsia" w:hAnsi="Arial" w:cs="Arial"/>
          <w:sz w:val="21"/>
          <w:szCs w:val="21"/>
        </w:rPr>
        <w:t>2025</w:t>
      </w:r>
      <w:r w:rsidRPr="0088573D">
        <w:rPr>
          <w:rFonts w:ascii="Arial" w:eastAsiaTheme="minorEastAsia" w:hAnsiTheme="minorEastAsia" w:cs="Arial"/>
          <w:sz w:val="21"/>
          <w:szCs w:val="21"/>
        </w:rPr>
        <w:t>年</w:t>
      </w:r>
      <w:r w:rsidRPr="0088573D">
        <w:rPr>
          <w:rFonts w:ascii="Arial" w:eastAsiaTheme="minorEastAsia" w:hAnsi="Arial" w:cs="Arial"/>
          <w:sz w:val="21"/>
          <w:szCs w:val="21"/>
        </w:rPr>
        <w:t>2</w:t>
      </w:r>
      <w:r w:rsidRPr="0088573D">
        <w:rPr>
          <w:rFonts w:ascii="Arial" w:eastAsiaTheme="minorEastAsia" w:hAnsiTheme="minorEastAsia" w:cs="Arial"/>
          <w:sz w:val="21"/>
          <w:szCs w:val="21"/>
        </w:rPr>
        <w:t>月</w:t>
      </w:r>
      <w:r w:rsidRPr="0088573D">
        <w:rPr>
          <w:rFonts w:ascii="Arial" w:eastAsiaTheme="minorEastAsia" w:hAnsi="Arial" w:cs="Arial"/>
          <w:sz w:val="21"/>
          <w:szCs w:val="21"/>
        </w:rPr>
        <w:t>17</w:t>
      </w:r>
      <w:r w:rsidRPr="0088573D">
        <w:rPr>
          <w:rFonts w:ascii="Arial" w:eastAsiaTheme="minorEastAsia" w:hAnsiTheme="minorEastAsia" w:cs="Arial"/>
          <w:sz w:val="21"/>
          <w:szCs w:val="21"/>
        </w:rPr>
        <w:t>日在巨潮资讯网（</w:t>
      </w:r>
      <w:r w:rsidRPr="0045476E">
        <w:rPr>
          <w:rFonts w:eastAsiaTheme="minorEastAsia"/>
          <w:sz w:val="21"/>
          <w:szCs w:val="21"/>
        </w:rPr>
        <w:t>www.cninfo.com.cn</w:t>
      </w:r>
      <w:r w:rsidRPr="0088573D">
        <w:rPr>
          <w:rFonts w:ascii="Arial" w:eastAsiaTheme="minorEastAsia" w:hAnsiTheme="minorEastAsia" w:cs="Arial"/>
          <w:sz w:val="21"/>
          <w:szCs w:val="21"/>
        </w:rPr>
        <w:t>）上披露的相关公告。</w:t>
      </w:r>
    </w:p>
    <w:p w:rsidR="0088573D" w:rsidRPr="0088573D" w:rsidRDefault="00B0153A" w:rsidP="00E06F28">
      <w:pPr>
        <w:pStyle w:val="af0"/>
        <w:spacing w:beforeLines="25" w:before="78" w:beforeAutospacing="0" w:afterAutospacing="0" w:line="324" w:lineRule="auto"/>
        <w:ind w:firstLineChars="200" w:firstLine="422"/>
        <w:jc w:val="both"/>
        <w:rPr>
          <w:rFonts w:ascii="Arial" w:eastAsiaTheme="minorEastAsia" w:hAnsi="Arial" w:cs="Arial"/>
          <w:sz w:val="21"/>
          <w:szCs w:val="21"/>
        </w:rPr>
      </w:pPr>
      <w:r>
        <w:rPr>
          <w:rStyle w:val="af1"/>
          <w:rFonts w:ascii="Arial" w:eastAsiaTheme="minorEastAsia" w:hAnsiTheme="minorEastAsia" w:cs="Arial"/>
          <w:sz w:val="21"/>
          <w:szCs w:val="21"/>
        </w:rPr>
        <w:t>（</w:t>
      </w:r>
      <w:r>
        <w:rPr>
          <w:rStyle w:val="af1"/>
          <w:rFonts w:ascii="Arial" w:eastAsiaTheme="minorEastAsia" w:hAnsiTheme="minorEastAsia" w:cs="Arial" w:hint="eastAsia"/>
          <w:sz w:val="21"/>
          <w:szCs w:val="21"/>
        </w:rPr>
        <w:t>三</w:t>
      </w:r>
      <w:r w:rsidR="0088573D" w:rsidRPr="0088573D">
        <w:rPr>
          <w:rStyle w:val="af1"/>
          <w:rFonts w:ascii="Arial" w:eastAsiaTheme="minorEastAsia" w:hAnsiTheme="minorEastAsia" w:cs="Arial"/>
          <w:sz w:val="21"/>
          <w:szCs w:val="21"/>
        </w:rPr>
        <w:t>）部分募投项目变更、终止事项</w:t>
      </w:r>
    </w:p>
    <w:p w:rsidR="0088573D" w:rsidRPr="0088573D" w:rsidRDefault="0088573D" w:rsidP="00E06F28">
      <w:pPr>
        <w:pStyle w:val="af0"/>
        <w:spacing w:beforeLines="25" w:before="78" w:beforeAutospacing="0" w:afterAutospacing="0" w:line="324" w:lineRule="auto"/>
        <w:ind w:firstLineChars="200" w:firstLine="420"/>
        <w:rPr>
          <w:rFonts w:ascii="Arial" w:eastAsiaTheme="minorEastAsia" w:hAnsi="Arial" w:cs="Arial"/>
          <w:szCs w:val="24"/>
        </w:rPr>
      </w:pPr>
      <w:r w:rsidRPr="0088573D">
        <w:rPr>
          <w:rFonts w:ascii="Arial" w:eastAsiaTheme="minorEastAsia" w:hAnsiTheme="minorEastAsia" w:cs="Arial"/>
          <w:sz w:val="21"/>
          <w:szCs w:val="21"/>
        </w:rPr>
        <w:t>公司于</w:t>
      </w:r>
      <w:r w:rsidRPr="0088573D">
        <w:rPr>
          <w:rFonts w:ascii="Arial" w:eastAsiaTheme="minorEastAsia" w:hAnsi="Arial" w:cs="Arial"/>
          <w:sz w:val="21"/>
          <w:szCs w:val="21"/>
        </w:rPr>
        <w:t xml:space="preserve"> 2024 </w:t>
      </w:r>
      <w:r w:rsidRPr="0088573D">
        <w:rPr>
          <w:rFonts w:ascii="Arial" w:eastAsiaTheme="minorEastAsia" w:hAnsiTheme="minorEastAsia" w:cs="Arial"/>
          <w:sz w:val="21"/>
          <w:szCs w:val="21"/>
        </w:rPr>
        <w:t>年</w:t>
      </w:r>
      <w:r w:rsidRPr="0088573D">
        <w:rPr>
          <w:rFonts w:ascii="Arial" w:eastAsiaTheme="minorEastAsia" w:hAnsi="Arial" w:cs="Arial"/>
          <w:sz w:val="21"/>
          <w:szCs w:val="21"/>
        </w:rPr>
        <w:t xml:space="preserve"> 10 </w:t>
      </w:r>
      <w:r w:rsidRPr="0088573D">
        <w:rPr>
          <w:rFonts w:ascii="Arial" w:eastAsiaTheme="minorEastAsia" w:hAnsiTheme="minorEastAsia" w:cs="Arial"/>
          <w:sz w:val="21"/>
          <w:szCs w:val="21"/>
        </w:rPr>
        <w:t>月</w:t>
      </w:r>
      <w:r w:rsidRPr="0088573D">
        <w:rPr>
          <w:rFonts w:ascii="Arial" w:eastAsiaTheme="minorEastAsia" w:hAnsi="Arial" w:cs="Arial"/>
          <w:sz w:val="21"/>
          <w:szCs w:val="21"/>
        </w:rPr>
        <w:t xml:space="preserve"> 21 </w:t>
      </w:r>
      <w:r w:rsidRPr="0088573D">
        <w:rPr>
          <w:rFonts w:ascii="Arial" w:eastAsiaTheme="minorEastAsia" w:hAnsiTheme="minorEastAsia" w:cs="Arial"/>
          <w:sz w:val="21"/>
          <w:szCs w:val="21"/>
        </w:rPr>
        <w:t>日召开第六届董事会第五次会议、第六届监事会第四次会议审议通过了《关于公司部分募投项目变更、终止的议案》，同意公司将</w:t>
      </w:r>
      <w:r w:rsidRPr="0088573D">
        <w:rPr>
          <w:rFonts w:ascii="Arial" w:eastAsiaTheme="minorEastAsia" w:hAnsi="Arial" w:cs="Arial"/>
          <w:sz w:val="21"/>
          <w:szCs w:val="21"/>
        </w:rPr>
        <w:t>“</w:t>
      </w:r>
      <w:r w:rsidRPr="0088573D">
        <w:rPr>
          <w:rFonts w:ascii="Arial" w:eastAsiaTheme="minorEastAsia" w:hAnsiTheme="minorEastAsia" w:cs="Arial"/>
          <w:sz w:val="21"/>
          <w:szCs w:val="21"/>
        </w:rPr>
        <w:t>宝色工程技术研发中心项目</w:t>
      </w:r>
      <w:r w:rsidRPr="0088573D">
        <w:rPr>
          <w:rFonts w:ascii="Arial" w:eastAsiaTheme="minorEastAsia" w:hAnsi="Arial" w:cs="Arial"/>
          <w:sz w:val="21"/>
          <w:szCs w:val="21"/>
        </w:rPr>
        <w:t>”</w:t>
      </w:r>
      <w:r w:rsidRPr="0088573D">
        <w:rPr>
          <w:rFonts w:ascii="Arial" w:eastAsiaTheme="minorEastAsia" w:hAnsiTheme="minorEastAsia" w:cs="Arial"/>
          <w:sz w:val="21"/>
          <w:szCs w:val="21"/>
        </w:rPr>
        <w:t>的实施方式由</w:t>
      </w:r>
      <w:r w:rsidRPr="0088573D">
        <w:rPr>
          <w:rFonts w:ascii="Arial" w:eastAsiaTheme="minorEastAsia" w:hAnsi="Arial" w:cs="Arial"/>
          <w:sz w:val="21"/>
          <w:szCs w:val="21"/>
        </w:rPr>
        <w:t>“</w:t>
      </w:r>
      <w:r w:rsidRPr="0088573D">
        <w:rPr>
          <w:rFonts w:ascii="Arial" w:eastAsiaTheme="minorEastAsia" w:hAnsiTheme="minorEastAsia" w:cs="Arial"/>
          <w:sz w:val="21"/>
          <w:szCs w:val="21"/>
        </w:rPr>
        <w:t>购置房产</w:t>
      </w:r>
      <w:r w:rsidRPr="0088573D">
        <w:rPr>
          <w:rFonts w:ascii="Arial" w:eastAsiaTheme="minorEastAsia" w:hAnsi="Arial" w:cs="Arial"/>
          <w:sz w:val="21"/>
          <w:szCs w:val="21"/>
        </w:rPr>
        <w:t xml:space="preserve">” </w:t>
      </w:r>
      <w:r w:rsidRPr="0088573D">
        <w:rPr>
          <w:rFonts w:ascii="Arial" w:eastAsiaTheme="minorEastAsia" w:hAnsiTheme="minorEastAsia" w:cs="Arial"/>
          <w:sz w:val="21"/>
          <w:szCs w:val="21"/>
        </w:rPr>
        <w:t>调整为</w:t>
      </w:r>
      <w:r w:rsidRPr="0088573D">
        <w:rPr>
          <w:rFonts w:ascii="Arial" w:eastAsiaTheme="minorEastAsia" w:hAnsi="Arial" w:cs="Arial"/>
          <w:sz w:val="21"/>
          <w:szCs w:val="21"/>
        </w:rPr>
        <w:t>“</w:t>
      </w:r>
      <w:r w:rsidRPr="0088573D">
        <w:rPr>
          <w:rFonts w:ascii="Arial" w:eastAsiaTheme="minorEastAsia" w:hAnsiTheme="minorEastAsia" w:cs="Arial"/>
          <w:sz w:val="21"/>
          <w:szCs w:val="21"/>
        </w:rPr>
        <w:t>租赁房产</w:t>
      </w:r>
      <w:r w:rsidRPr="0088573D">
        <w:rPr>
          <w:rFonts w:ascii="Arial" w:eastAsiaTheme="minorEastAsia" w:hAnsi="Arial" w:cs="Arial"/>
          <w:sz w:val="21"/>
          <w:szCs w:val="21"/>
        </w:rPr>
        <w:t>”</w:t>
      </w:r>
      <w:r w:rsidRPr="0088573D">
        <w:rPr>
          <w:rFonts w:ascii="Arial" w:eastAsiaTheme="minorEastAsia" w:hAnsiTheme="minorEastAsia" w:cs="Arial"/>
          <w:sz w:val="21"/>
          <w:szCs w:val="21"/>
        </w:rPr>
        <w:t>，增减部分设备和调整部分设备投资额，项目投资总额由</w:t>
      </w:r>
      <w:r w:rsidRPr="0088573D">
        <w:rPr>
          <w:rFonts w:ascii="Arial" w:eastAsiaTheme="minorEastAsia" w:hAnsi="Arial" w:cs="Arial"/>
          <w:sz w:val="21"/>
          <w:szCs w:val="21"/>
        </w:rPr>
        <w:t xml:space="preserve"> 14,703.30 </w:t>
      </w:r>
      <w:r w:rsidRPr="0088573D">
        <w:rPr>
          <w:rFonts w:ascii="Arial" w:eastAsiaTheme="minorEastAsia" w:hAnsiTheme="minorEastAsia" w:cs="Arial"/>
          <w:sz w:val="21"/>
          <w:szCs w:val="21"/>
        </w:rPr>
        <w:t>万元调整为</w:t>
      </w:r>
      <w:r w:rsidRPr="0088573D">
        <w:rPr>
          <w:rFonts w:ascii="Arial" w:eastAsiaTheme="minorEastAsia" w:hAnsi="Arial" w:cs="Arial"/>
          <w:sz w:val="21"/>
          <w:szCs w:val="21"/>
        </w:rPr>
        <w:t xml:space="preserve"> 3,267.48 </w:t>
      </w:r>
      <w:r w:rsidRPr="0088573D">
        <w:rPr>
          <w:rFonts w:ascii="Arial" w:eastAsiaTheme="minorEastAsia" w:hAnsiTheme="minorEastAsia" w:cs="Arial"/>
          <w:sz w:val="21"/>
          <w:szCs w:val="21"/>
        </w:rPr>
        <w:t>万元，项目实施地点由</w:t>
      </w:r>
      <w:r w:rsidRPr="0088573D">
        <w:rPr>
          <w:rFonts w:ascii="Arial" w:eastAsiaTheme="minorEastAsia" w:hAnsi="Arial" w:cs="Arial"/>
          <w:sz w:val="21"/>
          <w:szCs w:val="21"/>
        </w:rPr>
        <w:t>“</w:t>
      </w:r>
      <w:r w:rsidRPr="0088573D">
        <w:rPr>
          <w:rFonts w:ascii="Arial" w:eastAsiaTheme="minorEastAsia" w:hAnsiTheme="minorEastAsia" w:cs="Arial"/>
          <w:sz w:val="21"/>
          <w:szCs w:val="21"/>
        </w:rPr>
        <w:t>江苏省南京市江宁开发区苏源大道以东苏沃科技园</w:t>
      </w:r>
      <w:r w:rsidRPr="0088573D">
        <w:rPr>
          <w:rFonts w:ascii="Arial" w:eastAsiaTheme="minorEastAsia" w:hAnsi="Arial" w:cs="Arial"/>
          <w:sz w:val="21"/>
          <w:szCs w:val="21"/>
        </w:rPr>
        <w:t>”</w:t>
      </w:r>
      <w:r w:rsidRPr="0088573D">
        <w:rPr>
          <w:rFonts w:ascii="Arial" w:eastAsiaTheme="minorEastAsia" w:hAnsiTheme="minorEastAsia" w:cs="Arial"/>
          <w:sz w:val="21"/>
          <w:szCs w:val="21"/>
        </w:rPr>
        <w:t>变更为</w:t>
      </w:r>
      <w:r w:rsidRPr="0088573D">
        <w:rPr>
          <w:rFonts w:ascii="Arial" w:eastAsiaTheme="minorEastAsia" w:hAnsi="Arial" w:cs="Arial"/>
          <w:sz w:val="21"/>
          <w:szCs w:val="21"/>
        </w:rPr>
        <w:t>“</w:t>
      </w:r>
      <w:r w:rsidRPr="0088573D">
        <w:rPr>
          <w:rFonts w:ascii="Arial" w:eastAsiaTheme="minorEastAsia" w:hAnsiTheme="minorEastAsia" w:cs="Arial"/>
          <w:sz w:val="21"/>
          <w:szCs w:val="21"/>
        </w:rPr>
        <w:t>江苏省南京市江宁开发区胜利路</w:t>
      </w:r>
      <w:r w:rsidRPr="0088573D">
        <w:rPr>
          <w:rFonts w:ascii="Arial" w:eastAsiaTheme="minorEastAsia" w:hAnsi="Arial" w:cs="Arial"/>
          <w:sz w:val="21"/>
          <w:szCs w:val="21"/>
        </w:rPr>
        <w:t xml:space="preserve"> 89 </w:t>
      </w:r>
      <w:r w:rsidRPr="0088573D">
        <w:rPr>
          <w:rFonts w:ascii="Arial" w:eastAsiaTheme="minorEastAsia" w:hAnsiTheme="minorEastAsia" w:cs="Arial"/>
          <w:sz w:val="21"/>
          <w:szCs w:val="21"/>
        </w:rPr>
        <w:t>号紫金研创中心</w:t>
      </w:r>
      <w:r w:rsidRPr="0088573D">
        <w:rPr>
          <w:rFonts w:ascii="Arial" w:eastAsiaTheme="minorEastAsia" w:hAnsi="Arial" w:cs="Arial"/>
          <w:sz w:val="21"/>
          <w:szCs w:val="21"/>
        </w:rPr>
        <w:t xml:space="preserve"> 7 </w:t>
      </w:r>
      <w:r w:rsidRPr="0088573D">
        <w:rPr>
          <w:rFonts w:ascii="Arial" w:eastAsiaTheme="minorEastAsia" w:hAnsiTheme="minorEastAsia" w:cs="Arial"/>
          <w:sz w:val="21"/>
          <w:szCs w:val="21"/>
        </w:rPr>
        <w:t>号楼、江苏省南京市江宁滨江经济开发区景明大街</w:t>
      </w:r>
      <w:r w:rsidRPr="0088573D">
        <w:rPr>
          <w:rFonts w:ascii="Arial" w:eastAsiaTheme="minorEastAsia" w:hAnsi="Arial" w:cs="Arial"/>
          <w:sz w:val="21"/>
          <w:szCs w:val="21"/>
        </w:rPr>
        <w:t xml:space="preserve"> 15 </w:t>
      </w:r>
      <w:r w:rsidRPr="0088573D">
        <w:rPr>
          <w:rFonts w:ascii="Arial" w:eastAsiaTheme="minorEastAsia" w:hAnsiTheme="minorEastAsia" w:cs="Arial"/>
          <w:sz w:val="21"/>
          <w:szCs w:val="21"/>
        </w:rPr>
        <w:t>号</w:t>
      </w:r>
      <w:r w:rsidRPr="0088573D">
        <w:rPr>
          <w:rFonts w:ascii="Arial" w:eastAsiaTheme="minorEastAsia" w:hAnsi="Arial" w:cs="Arial"/>
          <w:sz w:val="21"/>
          <w:szCs w:val="21"/>
        </w:rPr>
        <w:t>”</w:t>
      </w:r>
      <w:r w:rsidRPr="0088573D">
        <w:rPr>
          <w:rFonts w:ascii="Arial" w:eastAsiaTheme="minorEastAsia" w:hAnsiTheme="minorEastAsia" w:cs="Arial"/>
          <w:sz w:val="21"/>
          <w:szCs w:val="21"/>
        </w:rPr>
        <w:t>；同意公司终止</w:t>
      </w:r>
      <w:r w:rsidRPr="0088573D">
        <w:rPr>
          <w:rFonts w:ascii="Arial" w:eastAsiaTheme="minorEastAsia" w:hAnsi="Arial" w:cs="Arial"/>
          <w:sz w:val="21"/>
          <w:szCs w:val="21"/>
        </w:rPr>
        <w:t>“</w:t>
      </w:r>
      <w:r w:rsidRPr="0088573D">
        <w:rPr>
          <w:rFonts w:ascii="Arial" w:eastAsiaTheme="minorEastAsia" w:hAnsiTheme="minorEastAsia" w:cs="Arial"/>
          <w:sz w:val="21"/>
          <w:szCs w:val="21"/>
        </w:rPr>
        <w:t>宝色舰船及海洋工程装备制造提质扩能项目</w:t>
      </w:r>
      <w:r w:rsidRPr="0088573D">
        <w:rPr>
          <w:rFonts w:ascii="Arial" w:eastAsiaTheme="minorEastAsia" w:hAnsi="Arial" w:cs="Arial"/>
          <w:sz w:val="21"/>
          <w:szCs w:val="21"/>
        </w:rPr>
        <w:t>”</w:t>
      </w:r>
      <w:r w:rsidRPr="0088573D">
        <w:rPr>
          <w:rFonts w:ascii="Arial" w:eastAsiaTheme="minorEastAsia" w:hAnsiTheme="minorEastAsia" w:cs="Arial"/>
          <w:sz w:val="21"/>
          <w:szCs w:val="21"/>
        </w:rPr>
        <w:t>。本次募投项目变更和终止后，结余募集资金继续存放于原募投项目相应的募集资金专用账户。</w:t>
      </w:r>
    </w:p>
    <w:p w:rsidR="0088573D" w:rsidRPr="0088573D" w:rsidRDefault="0088573D" w:rsidP="00E06F28">
      <w:pPr>
        <w:pStyle w:val="af0"/>
        <w:spacing w:beforeLines="25" w:before="78" w:beforeAutospacing="0" w:afterAutospacing="0" w:line="324" w:lineRule="auto"/>
        <w:ind w:firstLineChars="200" w:firstLine="420"/>
        <w:jc w:val="both"/>
        <w:rPr>
          <w:rFonts w:ascii="Arial" w:eastAsiaTheme="minorEastAsia" w:hAnsi="Arial" w:cs="Arial"/>
        </w:rPr>
      </w:pPr>
      <w:r w:rsidRPr="0088573D">
        <w:rPr>
          <w:rFonts w:ascii="Arial" w:eastAsiaTheme="minorEastAsia" w:hAnsiTheme="minorEastAsia" w:cs="Arial"/>
          <w:sz w:val="21"/>
          <w:szCs w:val="21"/>
        </w:rPr>
        <w:t>本次变更、终止部分募投项目是公司根据业务发展规划，基于公司现有的资源条件、实际生产经营需求，以及当前的市场环境等情况做出的合理调整，是公司管理层对募集资金投资秉承着审慎性原则做出的决定，符合成本效益原则，有利于提高募集资金使用效率和公司整体运营效率。本次变更及终止部分募投项目符合相关法律、法规和规范性文件的规定和要求，不会对公司正常经营产生重大不利影响，不存在变相改变募集资金用途和损害公司股东利益的情形。</w:t>
      </w:r>
    </w:p>
    <w:p w:rsidR="0088573D" w:rsidRPr="0088573D" w:rsidRDefault="0088573D" w:rsidP="00E06F28">
      <w:pPr>
        <w:pStyle w:val="af0"/>
        <w:spacing w:beforeLines="25" w:before="78" w:beforeAutospacing="0" w:afterAutospacing="0" w:line="324" w:lineRule="auto"/>
        <w:ind w:firstLineChars="200" w:firstLine="420"/>
        <w:jc w:val="both"/>
        <w:rPr>
          <w:rFonts w:ascii="Arial" w:eastAsiaTheme="minorEastAsia" w:hAnsi="Arial" w:cs="Arial"/>
        </w:rPr>
      </w:pPr>
      <w:r w:rsidRPr="0088573D">
        <w:rPr>
          <w:rFonts w:ascii="Arial" w:eastAsiaTheme="minorEastAsia" w:hAnsiTheme="minorEastAsia" w:cs="Arial"/>
          <w:sz w:val="21"/>
          <w:szCs w:val="21"/>
        </w:rPr>
        <w:t>具体内容详见公司于</w:t>
      </w:r>
      <w:r w:rsidRPr="0088573D">
        <w:rPr>
          <w:rFonts w:ascii="Arial" w:eastAsiaTheme="minorEastAsia" w:hAnsi="Arial" w:cs="Arial"/>
          <w:sz w:val="21"/>
          <w:szCs w:val="21"/>
        </w:rPr>
        <w:t>2024</w:t>
      </w:r>
      <w:r w:rsidRPr="0088573D">
        <w:rPr>
          <w:rFonts w:ascii="Arial" w:eastAsiaTheme="minorEastAsia" w:hAnsiTheme="minorEastAsia" w:cs="Arial"/>
          <w:sz w:val="21"/>
          <w:szCs w:val="21"/>
        </w:rPr>
        <w:t>年</w:t>
      </w:r>
      <w:r w:rsidRPr="0088573D">
        <w:rPr>
          <w:rFonts w:ascii="Arial" w:eastAsiaTheme="minorEastAsia" w:hAnsi="Arial" w:cs="Arial"/>
          <w:sz w:val="21"/>
          <w:szCs w:val="21"/>
        </w:rPr>
        <w:t>10</w:t>
      </w:r>
      <w:r w:rsidRPr="0088573D">
        <w:rPr>
          <w:rFonts w:ascii="Arial" w:eastAsiaTheme="minorEastAsia" w:hAnsiTheme="minorEastAsia" w:cs="Arial"/>
          <w:sz w:val="21"/>
          <w:szCs w:val="21"/>
        </w:rPr>
        <w:t>月</w:t>
      </w:r>
      <w:r w:rsidRPr="0088573D">
        <w:rPr>
          <w:rFonts w:ascii="Arial" w:eastAsiaTheme="minorEastAsia" w:hAnsi="Arial" w:cs="Arial"/>
          <w:sz w:val="21"/>
          <w:szCs w:val="21"/>
        </w:rPr>
        <w:t>23</w:t>
      </w:r>
      <w:r w:rsidRPr="0088573D">
        <w:rPr>
          <w:rFonts w:ascii="Arial" w:eastAsiaTheme="minorEastAsia" w:hAnsiTheme="minorEastAsia" w:cs="Arial"/>
          <w:sz w:val="21"/>
          <w:szCs w:val="21"/>
        </w:rPr>
        <w:t>日在巨潮资讯网（</w:t>
      </w:r>
      <w:r w:rsidRPr="0045476E">
        <w:rPr>
          <w:rFonts w:eastAsiaTheme="minorEastAsia"/>
          <w:sz w:val="21"/>
          <w:szCs w:val="21"/>
        </w:rPr>
        <w:t>www.cninfo.com.cn</w:t>
      </w:r>
      <w:r w:rsidRPr="0088573D">
        <w:rPr>
          <w:rFonts w:ascii="Arial" w:eastAsiaTheme="minorEastAsia" w:hAnsiTheme="minorEastAsia" w:cs="Arial"/>
          <w:sz w:val="21"/>
          <w:szCs w:val="21"/>
        </w:rPr>
        <w:t>）上披露的《关于部分募投项目变更、终止的公告》（公告编号：</w:t>
      </w:r>
      <w:r w:rsidRPr="0088573D">
        <w:rPr>
          <w:rFonts w:ascii="Arial" w:eastAsiaTheme="minorEastAsia" w:hAnsi="Arial" w:cs="Arial"/>
          <w:sz w:val="21"/>
          <w:szCs w:val="21"/>
        </w:rPr>
        <w:t>2024-051</w:t>
      </w:r>
      <w:r w:rsidRPr="0088573D">
        <w:rPr>
          <w:rFonts w:ascii="Arial" w:eastAsiaTheme="minorEastAsia" w:hAnsiTheme="minorEastAsia" w:cs="Arial"/>
          <w:sz w:val="21"/>
          <w:szCs w:val="21"/>
        </w:rPr>
        <w:t>）。</w:t>
      </w:r>
    </w:p>
    <w:sectPr w:rsidR="0088573D" w:rsidRPr="0088573D" w:rsidSect="003944BD">
      <w:headerReference w:type="default" r:id="rId44"/>
      <w:footerReference w:type="default" r:id="rId45"/>
      <w:pgSz w:w="11906" w:h="16838"/>
      <w:pgMar w:top="1276" w:right="1134" w:bottom="1440" w:left="1134" w:header="851" w:footer="85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6958" w:rsidRDefault="00586958" w:rsidP="00A657C2">
      <w:pPr>
        <w:spacing w:before="0" w:after="0"/>
      </w:pPr>
      <w:r>
        <w:separator/>
      </w:r>
    </w:p>
  </w:endnote>
  <w:endnote w:type="continuationSeparator" w:id="0">
    <w:p w:rsidR="00586958" w:rsidRDefault="00586958" w:rsidP="00A657C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977710"/>
      <w:docPartObj>
        <w:docPartGallery w:val="Page Numbers (Bottom of Page)"/>
        <w:docPartUnique/>
      </w:docPartObj>
    </w:sdtPr>
    <w:sdtEndPr>
      <w:rPr>
        <w:sz w:val="21"/>
        <w:szCs w:val="21"/>
      </w:rPr>
    </w:sdtEndPr>
    <w:sdtContent>
      <w:p w:rsidR="008B4DBD" w:rsidRDefault="00E06F28" w:rsidP="008923D6">
        <w:pPr>
          <w:pStyle w:val="a5"/>
          <w:jc w:val="center"/>
        </w:pPr>
        <w:r w:rsidRPr="00910F62">
          <w:rPr>
            <w:sz w:val="21"/>
            <w:szCs w:val="21"/>
          </w:rPr>
          <w:fldChar w:fldCharType="begin"/>
        </w:r>
        <w:r w:rsidR="008B4DBD" w:rsidRPr="00910F62">
          <w:rPr>
            <w:sz w:val="21"/>
            <w:szCs w:val="21"/>
          </w:rPr>
          <w:instrText xml:space="preserve"> PAGE   \* MERGEFORMAT </w:instrText>
        </w:r>
        <w:r w:rsidRPr="00910F62">
          <w:rPr>
            <w:sz w:val="21"/>
            <w:szCs w:val="21"/>
          </w:rPr>
          <w:fldChar w:fldCharType="separate"/>
        </w:r>
        <w:r w:rsidR="00586958" w:rsidRPr="00586958">
          <w:rPr>
            <w:noProof/>
            <w:sz w:val="21"/>
            <w:szCs w:val="21"/>
            <w:lang w:val="zh-CN"/>
          </w:rPr>
          <w:t>1</w:t>
        </w:r>
        <w:r w:rsidRPr="00910F62">
          <w:rPr>
            <w:noProof/>
            <w:sz w:val="21"/>
            <w:szCs w:val="21"/>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6958" w:rsidRDefault="00586958" w:rsidP="00A657C2">
      <w:pPr>
        <w:spacing w:before="0" w:after="0"/>
      </w:pPr>
      <w:r>
        <w:separator/>
      </w:r>
    </w:p>
  </w:footnote>
  <w:footnote w:type="continuationSeparator" w:id="0">
    <w:p w:rsidR="00586958" w:rsidRDefault="00586958" w:rsidP="00A657C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DBD" w:rsidRPr="00054A85" w:rsidRDefault="008B4DBD" w:rsidP="00054A85">
    <w:pPr>
      <w:pStyle w:val="a3"/>
      <w:jc w:val="right"/>
    </w:pPr>
    <w:r w:rsidRPr="00054A85">
      <w:t>南京宝色股份公司</w:t>
    </w:r>
    <w:r w:rsidRPr="00054A85">
      <w:t>202</w:t>
    </w:r>
    <w:r>
      <w:rPr>
        <w:rFonts w:hint="eastAsia"/>
      </w:rPr>
      <w:t>4</w:t>
    </w:r>
    <w:r w:rsidRPr="00054A85">
      <w:t>年年度报告摘要</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E7559"/>
    <w:multiLevelType w:val="hybridMultilevel"/>
    <w:tmpl w:val="12C809B4"/>
    <w:lvl w:ilvl="0" w:tplc="1EFE4F06">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97F112C"/>
    <w:multiLevelType w:val="multilevel"/>
    <w:tmpl w:val="120EEC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D8705CA"/>
    <w:multiLevelType w:val="multilevel"/>
    <w:tmpl w:val="813688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9EC789D"/>
    <w:multiLevelType w:val="hybridMultilevel"/>
    <w:tmpl w:val="D8D2B36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2EBF052C"/>
    <w:multiLevelType w:val="multilevel"/>
    <w:tmpl w:val="237CBE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10D7104"/>
    <w:multiLevelType w:val="multilevel"/>
    <w:tmpl w:val="D6622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1C8553B"/>
    <w:multiLevelType w:val="multilevel"/>
    <w:tmpl w:val="E04C81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01A04D9"/>
    <w:multiLevelType w:val="hybridMultilevel"/>
    <w:tmpl w:val="DD349222"/>
    <w:lvl w:ilvl="0" w:tplc="1F6239E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15:restartNumberingAfterBreak="0">
    <w:nsid w:val="7C2315F2"/>
    <w:multiLevelType w:val="multilevel"/>
    <w:tmpl w:val="4B881A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0"/>
  </w:num>
  <w:num w:numId="3">
    <w:abstractNumId w:val="3"/>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HorizontalSpacing w:val="9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657C2"/>
    <w:rsid w:val="00006DE5"/>
    <w:rsid w:val="00015176"/>
    <w:rsid w:val="00036A0A"/>
    <w:rsid w:val="00040B85"/>
    <w:rsid w:val="00041ACD"/>
    <w:rsid w:val="00054A85"/>
    <w:rsid w:val="00077239"/>
    <w:rsid w:val="00090FC7"/>
    <w:rsid w:val="00091009"/>
    <w:rsid w:val="000971D1"/>
    <w:rsid w:val="000C2EA8"/>
    <w:rsid w:val="000F5B18"/>
    <w:rsid w:val="00102E54"/>
    <w:rsid w:val="00112012"/>
    <w:rsid w:val="0011618A"/>
    <w:rsid w:val="00160C27"/>
    <w:rsid w:val="00170B13"/>
    <w:rsid w:val="00177430"/>
    <w:rsid w:val="00195AC1"/>
    <w:rsid w:val="001970A5"/>
    <w:rsid w:val="001C5B2E"/>
    <w:rsid w:val="0020008F"/>
    <w:rsid w:val="00207922"/>
    <w:rsid w:val="00207F03"/>
    <w:rsid w:val="002356B3"/>
    <w:rsid w:val="00262FF2"/>
    <w:rsid w:val="002705A3"/>
    <w:rsid w:val="002708DE"/>
    <w:rsid w:val="002D1166"/>
    <w:rsid w:val="002E3D4D"/>
    <w:rsid w:val="00304C37"/>
    <w:rsid w:val="00315324"/>
    <w:rsid w:val="00326086"/>
    <w:rsid w:val="00326139"/>
    <w:rsid w:val="00331FF9"/>
    <w:rsid w:val="00341905"/>
    <w:rsid w:val="003432FD"/>
    <w:rsid w:val="00346BA5"/>
    <w:rsid w:val="00367A42"/>
    <w:rsid w:val="00374CEC"/>
    <w:rsid w:val="003838D4"/>
    <w:rsid w:val="00387945"/>
    <w:rsid w:val="003944BD"/>
    <w:rsid w:val="003A2C8F"/>
    <w:rsid w:val="003B42DE"/>
    <w:rsid w:val="003D0629"/>
    <w:rsid w:val="003D14FD"/>
    <w:rsid w:val="003E6640"/>
    <w:rsid w:val="003F60AC"/>
    <w:rsid w:val="0042285E"/>
    <w:rsid w:val="00431D90"/>
    <w:rsid w:val="00434564"/>
    <w:rsid w:val="00434D8C"/>
    <w:rsid w:val="0044062F"/>
    <w:rsid w:val="0045476E"/>
    <w:rsid w:val="00457A79"/>
    <w:rsid w:val="0048296C"/>
    <w:rsid w:val="00493A1E"/>
    <w:rsid w:val="00497B5D"/>
    <w:rsid w:val="004A1785"/>
    <w:rsid w:val="004A234B"/>
    <w:rsid w:val="004B1A2C"/>
    <w:rsid w:val="004B6BDB"/>
    <w:rsid w:val="004D2B15"/>
    <w:rsid w:val="004E5E61"/>
    <w:rsid w:val="004F0384"/>
    <w:rsid w:val="00500D8E"/>
    <w:rsid w:val="005045C8"/>
    <w:rsid w:val="005106EA"/>
    <w:rsid w:val="005174D8"/>
    <w:rsid w:val="0053599B"/>
    <w:rsid w:val="00541135"/>
    <w:rsid w:val="00541479"/>
    <w:rsid w:val="0056130E"/>
    <w:rsid w:val="00564AA9"/>
    <w:rsid w:val="00570231"/>
    <w:rsid w:val="00586958"/>
    <w:rsid w:val="005A0C8E"/>
    <w:rsid w:val="005A58E2"/>
    <w:rsid w:val="005B24AE"/>
    <w:rsid w:val="005D570A"/>
    <w:rsid w:val="005D70CE"/>
    <w:rsid w:val="005F2686"/>
    <w:rsid w:val="005F524D"/>
    <w:rsid w:val="00600C98"/>
    <w:rsid w:val="00604023"/>
    <w:rsid w:val="00611FC2"/>
    <w:rsid w:val="0061409B"/>
    <w:rsid w:val="00641673"/>
    <w:rsid w:val="006418F2"/>
    <w:rsid w:val="00642AE0"/>
    <w:rsid w:val="00656834"/>
    <w:rsid w:val="006625F9"/>
    <w:rsid w:val="00692667"/>
    <w:rsid w:val="006A7BD5"/>
    <w:rsid w:val="006B4FF2"/>
    <w:rsid w:val="006F6A9C"/>
    <w:rsid w:val="0072213B"/>
    <w:rsid w:val="00726AAA"/>
    <w:rsid w:val="00726B24"/>
    <w:rsid w:val="007505EA"/>
    <w:rsid w:val="0075465A"/>
    <w:rsid w:val="00754E70"/>
    <w:rsid w:val="00781195"/>
    <w:rsid w:val="00784E7C"/>
    <w:rsid w:val="00795343"/>
    <w:rsid w:val="007A0B7B"/>
    <w:rsid w:val="007A41F2"/>
    <w:rsid w:val="007B2E9A"/>
    <w:rsid w:val="007C2391"/>
    <w:rsid w:val="007D2B8C"/>
    <w:rsid w:val="007D727F"/>
    <w:rsid w:val="007E1732"/>
    <w:rsid w:val="00804C89"/>
    <w:rsid w:val="00810D22"/>
    <w:rsid w:val="00820B01"/>
    <w:rsid w:val="008230C4"/>
    <w:rsid w:val="00854714"/>
    <w:rsid w:val="00867674"/>
    <w:rsid w:val="00872DF1"/>
    <w:rsid w:val="008839CB"/>
    <w:rsid w:val="0088573D"/>
    <w:rsid w:val="00886FA6"/>
    <w:rsid w:val="008923D6"/>
    <w:rsid w:val="00895945"/>
    <w:rsid w:val="008A6D3C"/>
    <w:rsid w:val="008B3957"/>
    <w:rsid w:val="008B4DBD"/>
    <w:rsid w:val="008D31F8"/>
    <w:rsid w:val="008E3F6C"/>
    <w:rsid w:val="008E5252"/>
    <w:rsid w:val="008F2365"/>
    <w:rsid w:val="00900A6D"/>
    <w:rsid w:val="00903B46"/>
    <w:rsid w:val="00910F62"/>
    <w:rsid w:val="00913AD4"/>
    <w:rsid w:val="00931B74"/>
    <w:rsid w:val="00936D67"/>
    <w:rsid w:val="00945EE5"/>
    <w:rsid w:val="009673B5"/>
    <w:rsid w:val="00972E53"/>
    <w:rsid w:val="00982038"/>
    <w:rsid w:val="009951F6"/>
    <w:rsid w:val="009C1725"/>
    <w:rsid w:val="009C4D88"/>
    <w:rsid w:val="00A01E96"/>
    <w:rsid w:val="00A25728"/>
    <w:rsid w:val="00A43DB8"/>
    <w:rsid w:val="00A61B75"/>
    <w:rsid w:val="00A648E2"/>
    <w:rsid w:val="00A657C2"/>
    <w:rsid w:val="00A70F9F"/>
    <w:rsid w:val="00A92247"/>
    <w:rsid w:val="00AC1EB5"/>
    <w:rsid w:val="00AD19F8"/>
    <w:rsid w:val="00AD40F4"/>
    <w:rsid w:val="00AE6DFF"/>
    <w:rsid w:val="00AF1966"/>
    <w:rsid w:val="00B0153A"/>
    <w:rsid w:val="00B153DB"/>
    <w:rsid w:val="00B34549"/>
    <w:rsid w:val="00B352B2"/>
    <w:rsid w:val="00B41F04"/>
    <w:rsid w:val="00B45B0A"/>
    <w:rsid w:val="00B56858"/>
    <w:rsid w:val="00B96A5E"/>
    <w:rsid w:val="00BA6AEC"/>
    <w:rsid w:val="00BC4531"/>
    <w:rsid w:val="00BC4F27"/>
    <w:rsid w:val="00BC5338"/>
    <w:rsid w:val="00BC783E"/>
    <w:rsid w:val="00BD4D8F"/>
    <w:rsid w:val="00BE075D"/>
    <w:rsid w:val="00BF4D8E"/>
    <w:rsid w:val="00C11605"/>
    <w:rsid w:val="00C11727"/>
    <w:rsid w:val="00C31712"/>
    <w:rsid w:val="00C46E41"/>
    <w:rsid w:val="00C51123"/>
    <w:rsid w:val="00C573C2"/>
    <w:rsid w:val="00C57B9F"/>
    <w:rsid w:val="00C66CE8"/>
    <w:rsid w:val="00C73A43"/>
    <w:rsid w:val="00C74CE7"/>
    <w:rsid w:val="00C979B3"/>
    <w:rsid w:val="00CC3C98"/>
    <w:rsid w:val="00CE7A39"/>
    <w:rsid w:val="00CF2D52"/>
    <w:rsid w:val="00D01070"/>
    <w:rsid w:val="00D16DC9"/>
    <w:rsid w:val="00D27ADC"/>
    <w:rsid w:val="00D4333A"/>
    <w:rsid w:val="00D43EC1"/>
    <w:rsid w:val="00D53D09"/>
    <w:rsid w:val="00D6634C"/>
    <w:rsid w:val="00D76DD9"/>
    <w:rsid w:val="00D924F0"/>
    <w:rsid w:val="00DA3888"/>
    <w:rsid w:val="00DD6E2B"/>
    <w:rsid w:val="00DE1913"/>
    <w:rsid w:val="00DF28D7"/>
    <w:rsid w:val="00E06F28"/>
    <w:rsid w:val="00E07FB8"/>
    <w:rsid w:val="00E31927"/>
    <w:rsid w:val="00E4724D"/>
    <w:rsid w:val="00E55F57"/>
    <w:rsid w:val="00E6135B"/>
    <w:rsid w:val="00E81A66"/>
    <w:rsid w:val="00E977DF"/>
    <w:rsid w:val="00EB455B"/>
    <w:rsid w:val="00ED6206"/>
    <w:rsid w:val="00ED7CBC"/>
    <w:rsid w:val="00EE6513"/>
    <w:rsid w:val="00F01041"/>
    <w:rsid w:val="00F044FA"/>
    <w:rsid w:val="00F114A8"/>
    <w:rsid w:val="00F16B26"/>
    <w:rsid w:val="00F22710"/>
    <w:rsid w:val="00F268C4"/>
    <w:rsid w:val="00F368D5"/>
    <w:rsid w:val="00F52351"/>
    <w:rsid w:val="00F553A2"/>
    <w:rsid w:val="00F64CD5"/>
    <w:rsid w:val="00F80E28"/>
    <w:rsid w:val="00F83889"/>
    <w:rsid w:val="00FA2DCA"/>
    <w:rsid w:val="00FE124F"/>
    <w:rsid w:val="00FE2BF2"/>
    <w:rsid w:val="00FF1483"/>
    <w:rsid w:val="00FF79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8287D"/>
  <w15:docId w15:val="{CDF7D95F-86EB-4C62-BD25-B6BE8E0B0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57C2"/>
    <w:pPr>
      <w:widowControl w:val="0"/>
      <w:spacing w:before="40" w:after="40"/>
      <w:jc w:val="both"/>
    </w:pPr>
    <w:rPr>
      <w:rFonts w:ascii="Times New Roman" w:eastAsia="宋体" w:hAnsi="Times New Roman" w:cs="Times New Roman"/>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57C2"/>
    <w:pPr>
      <w:pBdr>
        <w:bottom w:val="single" w:sz="6" w:space="1" w:color="auto"/>
      </w:pBdr>
      <w:tabs>
        <w:tab w:val="center" w:pos="4153"/>
        <w:tab w:val="right" w:pos="8306"/>
      </w:tabs>
      <w:snapToGrid w:val="0"/>
      <w:jc w:val="center"/>
    </w:pPr>
  </w:style>
  <w:style w:type="character" w:customStyle="1" w:styleId="a4">
    <w:name w:val="页眉 字符"/>
    <w:basedOn w:val="a0"/>
    <w:link w:val="a3"/>
    <w:uiPriority w:val="99"/>
    <w:semiHidden/>
    <w:rsid w:val="00A657C2"/>
    <w:rPr>
      <w:sz w:val="18"/>
      <w:szCs w:val="18"/>
    </w:rPr>
  </w:style>
  <w:style w:type="paragraph" w:styleId="a5">
    <w:name w:val="footer"/>
    <w:basedOn w:val="a"/>
    <w:link w:val="a6"/>
    <w:uiPriority w:val="99"/>
    <w:unhideWhenUsed/>
    <w:rsid w:val="00A657C2"/>
    <w:pPr>
      <w:tabs>
        <w:tab w:val="center" w:pos="4153"/>
        <w:tab w:val="right" w:pos="8306"/>
      </w:tabs>
      <w:snapToGrid w:val="0"/>
      <w:jc w:val="left"/>
    </w:pPr>
  </w:style>
  <w:style w:type="character" w:customStyle="1" w:styleId="a6">
    <w:name w:val="页脚 字符"/>
    <w:basedOn w:val="a0"/>
    <w:link w:val="a5"/>
    <w:uiPriority w:val="99"/>
    <w:rsid w:val="00A657C2"/>
    <w:rPr>
      <w:sz w:val="18"/>
      <w:szCs w:val="18"/>
    </w:rPr>
  </w:style>
  <w:style w:type="paragraph" w:styleId="a7">
    <w:name w:val="Title"/>
    <w:basedOn w:val="a"/>
    <w:next w:val="a"/>
    <w:link w:val="a8"/>
    <w:uiPriority w:val="99"/>
    <w:qFormat/>
    <w:rsid w:val="00A657C2"/>
    <w:pPr>
      <w:keepNext/>
      <w:keepLines/>
      <w:spacing w:before="340" w:after="330" w:line="578" w:lineRule="auto"/>
      <w:jc w:val="center"/>
    </w:pPr>
    <w:rPr>
      <w:b/>
      <w:bCs/>
      <w:kern w:val="32"/>
      <w:sz w:val="32"/>
      <w:szCs w:val="32"/>
    </w:rPr>
  </w:style>
  <w:style w:type="character" w:customStyle="1" w:styleId="a8">
    <w:name w:val="标题 字符"/>
    <w:basedOn w:val="a0"/>
    <w:link w:val="a7"/>
    <w:uiPriority w:val="99"/>
    <w:rsid w:val="00A657C2"/>
    <w:rPr>
      <w:rFonts w:ascii="Times New Roman" w:eastAsia="宋体" w:hAnsi="Times New Roman" w:cs="Times New Roman"/>
      <w:b/>
      <w:bCs/>
      <w:kern w:val="32"/>
      <w:sz w:val="32"/>
      <w:szCs w:val="32"/>
    </w:rPr>
  </w:style>
  <w:style w:type="paragraph" w:customStyle="1" w:styleId="Chapter">
    <w:name w:val="Chapter"/>
    <w:next w:val="a"/>
    <w:uiPriority w:val="99"/>
    <w:rsid w:val="00A657C2"/>
    <w:pPr>
      <w:keepNext/>
      <w:keepLines/>
      <w:widowControl w:val="0"/>
      <w:spacing w:before="300" w:after="300" w:line="241" w:lineRule="auto"/>
      <w:jc w:val="both"/>
    </w:pPr>
    <w:rPr>
      <w:rFonts w:ascii="Times New Roman" w:eastAsia="宋体" w:hAnsi="Times New Roman" w:cs="Times New Roman"/>
      <w:b/>
      <w:bCs/>
      <w:kern w:val="28"/>
      <w:sz w:val="24"/>
      <w:szCs w:val="24"/>
    </w:rPr>
  </w:style>
  <w:style w:type="paragraph" w:customStyle="1" w:styleId="Section">
    <w:name w:val="Section"/>
    <w:next w:val="a"/>
    <w:uiPriority w:val="99"/>
    <w:rsid w:val="00A657C2"/>
    <w:pPr>
      <w:keepNext/>
      <w:keepLines/>
      <w:widowControl w:val="0"/>
      <w:spacing w:before="300" w:after="300" w:line="241" w:lineRule="auto"/>
      <w:jc w:val="both"/>
    </w:pPr>
    <w:rPr>
      <w:rFonts w:ascii="Times New Roman" w:eastAsia="宋体" w:hAnsi="Times New Roman" w:cs="Times New Roman"/>
      <w:b/>
      <w:bCs/>
      <w:kern w:val="28"/>
      <w:szCs w:val="21"/>
    </w:rPr>
  </w:style>
  <w:style w:type="paragraph" w:customStyle="1" w:styleId="11">
    <w:name w:val="审计报告标题1 [1级]"/>
    <w:link w:val="11Char"/>
    <w:rsid w:val="00A657C2"/>
    <w:pPr>
      <w:adjustRightInd w:val="0"/>
      <w:snapToGrid w:val="0"/>
      <w:spacing w:line="400" w:lineRule="atLeast"/>
    </w:pPr>
    <w:rPr>
      <w:rFonts w:ascii="宋体" w:eastAsia="宋体" w:hAnsi="宋体" w:cs="Times New Roman"/>
      <w:b/>
      <w:sz w:val="28"/>
      <w:szCs w:val="21"/>
    </w:rPr>
  </w:style>
  <w:style w:type="character" w:customStyle="1" w:styleId="11Char">
    <w:name w:val="审计报告标题1 [1级] Char"/>
    <w:link w:val="11"/>
    <w:locked/>
    <w:rsid w:val="00A657C2"/>
    <w:rPr>
      <w:rFonts w:ascii="宋体" w:eastAsia="宋体" w:hAnsi="宋体" w:cs="Times New Roman"/>
      <w:b/>
      <w:sz w:val="28"/>
      <w:szCs w:val="21"/>
    </w:rPr>
  </w:style>
  <w:style w:type="paragraph" w:styleId="a9">
    <w:name w:val="Document Map"/>
    <w:basedOn w:val="a"/>
    <w:link w:val="aa"/>
    <w:uiPriority w:val="99"/>
    <w:semiHidden/>
    <w:unhideWhenUsed/>
    <w:rsid w:val="00A657C2"/>
    <w:rPr>
      <w:rFonts w:ascii="宋体"/>
    </w:rPr>
  </w:style>
  <w:style w:type="character" w:customStyle="1" w:styleId="aa">
    <w:name w:val="文档结构图 字符"/>
    <w:basedOn w:val="a0"/>
    <w:link w:val="a9"/>
    <w:uiPriority w:val="99"/>
    <w:semiHidden/>
    <w:rsid w:val="00A657C2"/>
    <w:rPr>
      <w:rFonts w:ascii="宋体" w:eastAsia="宋体" w:hAnsi="Times New Roman" w:cs="Times New Roman"/>
      <w:sz w:val="18"/>
      <w:szCs w:val="18"/>
    </w:rPr>
  </w:style>
  <w:style w:type="paragraph" w:styleId="ab">
    <w:name w:val="Balloon Text"/>
    <w:basedOn w:val="a"/>
    <w:link w:val="ac"/>
    <w:uiPriority w:val="99"/>
    <w:semiHidden/>
    <w:unhideWhenUsed/>
    <w:rsid w:val="00A657C2"/>
    <w:pPr>
      <w:spacing w:before="0" w:after="0"/>
    </w:pPr>
  </w:style>
  <w:style w:type="character" w:customStyle="1" w:styleId="ac">
    <w:name w:val="批注框文本 字符"/>
    <w:basedOn w:val="a0"/>
    <w:link w:val="ab"/>
    <w:uiPriority w:val="99"/>
    <w:semiHidden/>
    <w:rsid w:val="00A657C2"/>
    <w:rPr>
      <w:rFonts w:ascii="Times New Roman" w:eastAsia="宋体" w:hAnsi="Times New Roman" w:cs="Times New Roman"/>
      <w:sz w:val="18"/>
      <w:szCs w:val="18"/>
    </w:rPr>
  </w:style>
  <w:style w:type="paragraph" w:styleId="ad">
    <w:name w:val="List Paragraph"/>
    <w:basedOn w:val="a"/>
    <w:uiPriority w:val="34"/>
    <w:qFormat/>
    <w:rsid w:val="00C51123"/>
    <w:pPr>
      <w:ind w:firstLineChars="200" w:firstLine="420"/>
    </w:pPr>
  </w:style>
  <w:style w:type="paragraph" w:customStyle="1" w:styleId="ae">
    <w:name w:val="图表"/>
    <w:basedOn w:val="a"/>
    <w:link w:val="Char"/>
    <w:qFormat/>
    <w:rsid w:val="00AD40F4"/>
    <w:pPr>
      <w:adjustRightInd w:val="0"/>
      <w:snapToGrid w:val="0"/>
      <w:spacing w:before="0" w:after="0"/>
      <w:jc w:val="center"/>
    </w:pPr>
    <w:rPr>
      <w:rFonts w:ascii="微软雅黑" w:eastAsia="微软雅黑" w:hAnsi="Calibri"/>
      <w:color w:val="000000"/>
      <w:kern w:val="0"/>
      <w:sz w:val="20"/>
      <w:szCs w:val="20"/>
    </w:rPr>
  </w:style>
  <w:style w:type="character" w:customStyle="1" w:styleId="Char">
    <w:name w:val="图表 Char"/>
    <w:link w:val="ae"/>
    <w:qFormat/>
    <w:rsid w:val="00AD40F4"/>
    <w:rPr>
      <w:rFonts w:ascii="微软雅黑" w:eastAsia="微软雅黑" w:hAnsi="Calibri" w:cs="Times New Roman"/>
      <w:color w:val="000000"/>
      <w:kern w:val="0"/>
      <w:sz w:val="20"/>
      <w:szCs w:val="20"/>
    </w:rPr>
  </w:style>
  <w:style w:type="paragraph" w:customStyle="1" w:styleId="af">
    <w:name w:val="图表表头"/>
    <w:basedOn w:val="ae"/>
    <w:link w:val="Char0"/>
    <w:qFormat/>
    <w:rsid w:val="00AD40F4"/>
    <w:rPr>
      <w:b/>
      <w:color w:val="FFFFFF"/>
    </w:rPr>
  </w:style>
  <w:style w:type="character" w:customStyle="1" w:styleId="Char0">
    <w:name w:val="图表表头 Char"/>
    <w:link w:val="af"/>
    <w:qFormat/>
    <w:rsid w:val="00AD40F4"/>
    <w:rPr>
      <w:rFonts w:ascii="微软雅黑" w:eastAsia="微软雅黑" w:hAnsi="Calibri" w:cs="Times New Roman"/>
      <w:b/>
      <w:color w:val="FFFFFF"/>
      <w:kern w:val="0"/>
      <w:sz w:val="20"/>
      <w:szCs w:val="20"/>
    </w:rPr>
  </w:style>
  <w:style w:type="paragraph" w:styleId="af0">
    <w:name w:val="Normal (Web)"/>
    <w:basedOn w:val="a"/>
    <w:uiPriority w:val="99"/>
    <w:qFormat/>
    <w:rsid w:val="00C66CE8"/>
    <w:pPr>
      <w:spacing w:before="0" w:beforeAutospacing="1" w:after="0" w:afterAutospacing="1"/>
      <w:jc w:val="left"/>
    </w:pPr>
    <w:rPr>
      <w:kern w:val="0"/>
      <w:sz w:val="24"/>
      <w:szCs w:val="22"/>
    </w:rPr>
  </w:style>
  <w:style w:type="character" w:styleId="af1">
    <w:name w:val="Strong"/>
    <w:uiPriority w:val="22"/>
    <w:qFormat/>
    <w:rsid w:val="00C66CE8"/>
    <w:rPr>
      <w:b/>
      <w:bCs/>
    </w:rPr>
  </w:style>
  <w:style w:type="paragraph" w:styleId="af2">
    <w:name w:val="Revision"/>
    <w:hidden/>
    <w:uiPriority w:val="99"/>
    <w:semiHidden/>
    <w:rsid w:val="003A2C8F"/>
    <w:rPr>
      <w:rFonts w:ascii="Times New Roman" w:eastAsia="宋体" w:hAnsi="Times New Roman" w:cs="Times New Roman"/>
      <w:sz w:val="18"/>
      <w:szCs w:val="18"/>
    </w:rPr>
  </w:style>
  <w:style w:type="character" w:styleId="af3">
    <w:name w:val="Hyperlink"/>
    <w:basedOn w:val="a0"/>
    <w:uiPriority w:val="99"/>
    <w:semiHidden/>
    <w:unhideWhenUsed/>
    <w:rsid w:val="008857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753316">
      <w:bodyDiv w:val="1"/>
      <w:marLeft w:val="0"/>
      <w:marRight w:val="0"/>
      <w:marTop w:val="0"/>
      <w:marBottom w:val="0"/>
      <w:divBdr>
        <w:top w:val="none" w:sz="0" w:space="0" w:color="auto"/>
        <w:left w:val="none" w:sz="0" w:space="0" w:color="auto"/>
        <w:bottom w:val="none" w:sz="0" w:space="0" w:color="auto"/>
        <w:right w:val="none" w:sz="0" w:space="0" w:color="auto"/>
      </w:divBdr>
    </w:div>
    <w:div w:id="826941214">
      <w:bodyDiv w:val="1"/>
      <w:marLeft w:val="0"/>
      <w:marRight w:val="0"/>
      <w:marTop w:val="0"/>
      <w:marBottom w:val="0"/>
      <w:divBdr>
        <w:top w:val="none" w:sz="0" w:space="0" w:color="auto"/>
        <w:left w:val="none" w:sz="0" w:space="0" w:color="auto"/>
        <w:bottom w:val="none" w:sz="0" w:space="0" w:color="auto"/>
        <w:right w:val="none" w:sz="0" w:space="0" w:color="auto"/>
      </w:divBdr>
    </w:div>
    <w:div w:id="983773740">
      <w:bodyDiv w:val="1"/>
      <w:marLeft w:val="0"/>
      <w:marRight w:val="0"/>
      <w:marTop w:val="0"/>
      <w:marBottom w:val="0"/>
      <w:divBdr>
        <w:top w:val="none" w:sz="0" w:space="0" w:color="auto"/>
        <w:left w:val="none" w:sz="0" w:space="0" w:color="auto"/>
        <w:bottom w:val="none" w:sz="0" w:space="0" w:color="auto"/>
        <w:right w:val="none" w:sz="0" w:space="0" w:color="auto"/>
      </w:divBdr>
    </w:div>
    <w:div w:id="1049570799">
      <w:bodyDiv w:val="1"/>
      <w:marLeft w:val="0"/>
      <w:marRight w:val="0"/>
      <w:marTop w:val="0"/>
      <w:marBottom w:val="0"/>
      <w:divBdr>
        <w:top w:val="none" w:sz="0" w:space="0" w:color="auto"/>
        <w:left w:val="none" w:sz="0" w:space="0" w:color="auto"/>
        <w:bottom w:val="none" w:sz="0" w:space="0" w:color="auto"/>
        <w:right w:val="none" w:sz="0" w:space="0" w:color="auto"/>
      </w:divBdr>
    </w:div>
    <w:div w:id="213270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www.cninfo.com.cn"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F06AD-E978-4BC5-A209-6B740E0E9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13</Pages>
  <Words>1423</Words>
  <Characters>8117</Characters>
  <Application>Microsoft Office Word</Application>
  <DocSecurity>0</DocSecurity>
  <Lines>67</Lines>
  <Paragraphs>19</Paragraphs>
  <ScaleCrop>false</ScaleCrop>
  <Company>Lenovo</Company>
  <LinksUpToDate>false</LinksUpToDate>
  <CharactersWithSpaces>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Lenove</dc:creator>
  <cp:lastModifiedBy>lp</cp:lastModifiedBy>
  <cp:revision>73</cp:revision>
  <cp:lastPrinted>2020-04-22T10:44:00Z</cp:lastPrinted>
  <dcterms:created xsi:type="dcterms:W3CDTF">2024-03-11T09:44:00Z</dcterms:created>
  <dcterms:modified xsi:type="dcterms:W3CDTF">2025-04-03T02:55:00Z</dcterms:modified>
</cp:coreProperties>
</file>