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72" w:type="pct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431"/>
        <w:gridCol w:w="1618"/>
        <w:gridCol w:w="1416"/>
        <w:gridCol w:w="1428"/>
        <w:gridCol w:w="1437"/>
        <w:gridCol w:w="1254"/>
        <w:gridCol w:w="1328"/>
        <w:gridCol w:w="1437"/>
        <w:gridCol w:w="887"/>
        <w:gridCol w:w="1419"/>
      </w:tblGrid>
      <w:tr w:rsidR="00820CAC" w:rsidRPr="00820CAC" w14:paraId="030937BB" w14:textId="77777777" w:rsidTr="009D62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73CF5" w14:textId="77777777" w:rsidR="00820CAC" w:rsidRPr="00820CAC" w:rsidRDefault="00820CAC" w:rsidP="009D62BB">
            <w:pPr>
              <w:spacing w:line="520" w:lineRule="exact"/>
              <w:jc w:val="center"/>
              <w:rPr>
                <w:rFonts w:ascii="Arial" w:eastAsia="宋体" w:hAnsi="Arial" w:cs="Arial"/>
                <w:b/>
                <w:bCs/>
                <w:sz w:val="30"/>
                <w:szCs w:val="30"/>
              </w:rPr>
            </w:pPr>
            <w:bookmarkStart w:id="0" w:name="RANGE!A1:K24"/>
            <w:r w:rsidRPr="00820CAC">
              <w:rPr>
                <w:rFonts w:ascii="Arial" w:eastAsia="宋体" w:hAnsi="Arial" w:cs="Arial"/>
                <w:b/>
                <w:bCs/>
                <w:sz w:val="30"/>
                <w:szCs w:val="30"/>
              </w:rPr>
              <w:t>南京宝色股份公司</w:t>
            </w:r>
          </w:p>
          <w:p w14:paraId="5E8A847A" w14:textId="77777777" w:rsidR="00820CAC" w:rsidRPr="00820CAC" w:rsidRDefault="00820CAC" w:rsidP="009D62BB">
            <w:pPr>
              <w:spacing w:afterLines="25" w:after="78" w:line="52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30"/>
                <w:szCs w:val="30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30"/>
                <w:szCs w:val="30"/>
              </w:rPr>
              <w:t>年度非经营性资金占用及其他关联资金往来情况汇总表</w:t>
            </w:r>
            <w:bookmarkEnd w:id="0"/>
          </w:p>
        </w:tc>
      </w:tr>
      <w:tr w:rsidR="00820CAC" w:rsidRPr="00820CAC" w14:paraId="7ADEE4A7" w14:textId="77777777" w:rsidTr="009D62BB">
        <w:trPr>
          <w:trHeight w:val="20"/>
          <w:jc w:val="center"/>
        </w:trPr>
        <w:tc>
          <w:tcPr>
            <w:tcW w:w="1071" w:type="pct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13ABBAA2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  <w:r w:rsidRPr="00820CAC">
              <w:rPr>
                <w:rFonts w:ascii="Arial" w:eastAsia="宋体" w:hAnsi="Arial" w:cs="Arial"/>
                <w:color w:val="000000"/>
                <w:szCs w:val="22"/>
              </w:rPr>
              <w:t>编制单位：南京宝色股份公司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E238716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402243E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13542C8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34FA7A1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1DEB56F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7E35D62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8824E52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A0371D6" w14:textId="77777777" w:rsidR="00820CAC" w:rsidRPr="00820CAC" w:rsidRDefault="00820CAC" w:rsidP="009D62BB">
            <w:pPr>
              <w:widowControl/>
              <w:jc w:val="left"/>
              <w:rPr>
                <w:rFonts w:ascii="Arial" w:eastAsia="宋体" w:hAnsi="Arial" w:cs="Arial"/>
                <w:color w:val="000000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132F49C" w14:textId="77777777" w:rsidR="00820CAC" w:rsidRPr="00820CAC" w:rsidRDefault="00820CAC" w:rsidP="009D62BB">
            <w:pPr>
              <w:widowControl/>
              <w:jc w:val="right"/>
              <w:rPr>
                <w:rFonts w:ascii="Arial" w:eastAsia="宋体" w:hAnsi="Arial" w:cs="Arial"/>
                <w:color w:val="000000"/>
                <w:szCs w:val="22"/>
              </w:rPr>
            </w:pPr>
            <w:r w:rsidRPr="00820CAC">
              <w:rPr>
                <w:rFonts w:ascii="Arial" w:eastAsia="宋体" w:hAnsi="Arial" w:cs="Arial"/>
                <w:color w:val="000000"/>
                <w:szCs w:val="22"/>
              </w:rPr>
              <w:t>单位：元</w:t>
            </w:r>
          </w:p>
        </w:tc>
      </w:tr>
      <w:tr w:rsidR="00820CAC" w:rsidRPr="00820CAC" w14:paraId="239F5B58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53F6CEA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非经营性资金占用</w:t>
            </w:r>
          </w:p>
        </w:tc>
        <w:tc>
          <w:tcPr>
            <w:tcW w:w="460" w:type="pct"/>
            <w:vAlign w:val="center"/>
          </w:tcPr>
          <w:p w14:paraId="3E62E3C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资金占用方</w:t>
            </w:r>
          </w:p>
          <w:p w14:paraId="72C89CC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20" w:type="pct"/>
            <w:vAlign w:val="center"/>
          </w:tcPr>
          <w:p w14:paraId="1533A8E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占用方与上市公司的关联关系</w:t>
            </w:r>
          </w:p>
        </w:tc>
        <w:tc>
          <w:tcPr>
            <w:tcW w:w="455" w:type="pct"/>
            <w:vAlign w:val="center"/>
          </w:tcPr>
          <w:p w14:paraId="79E396A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上市公司核算的会计科目</w:t>
            </w:r>
          </w:p>
        </w:tc>
        <w:tc>
          <w:tcPr>
            <w:tcW w:w="459" w:type="pct"/>
            <w:vAlign w:val="center"/>
          </w:tcPr>
          <w:p w14:paraId="2B189F9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年期初占用资金余额</w:t>
            </w:r>
          </w:p>
        </w:tc>
        <w:tc>
          <w:tcPr>
            <w:tcW w:w="462" w:type="pct"/>
            <w:vAlign w:val="center"/>
          </w:tcPr>
          <w:p w14:paraId="6AAEA8B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年度占用累计发生金额</w:t>
            </w:r>
          </w:p>
          <w:p w14:paraId="498C286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（不含利息）</w:t>
            </w:r>
          </w:p>
        </w:tc>
        <w:tc>
          <w:tcPr>
            <w:tcW w:w="403" w:type="pct"/>
            <w:vAlign w:val="center"/>
          </w:tcPr>
          <w:p w14:paraId="20F818F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年度占用资金的利息（如有）</w:t>
            </w:r>
          </w:p>
        </w:tc>
        <w:tc>
          <w:tcPr>
            <w:tcW w:w="427" w:type="pct"/>
            <w:vAlign w:val="center"/>
          </w:tcPr>
          <w:p w14:paraId="68E3ACF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年度偿还累计发生金额</w:t>
            </w:r>
          </w:p>
        </w:tc>
        <w:tc>
          <w:tcPr>
            <w:tcW w:w="462" w:type="pct"/>
            <w:vAlign w:val="center"/>
          </w:tcPr>
          <w:p w14:paraId="016FD17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年期末占用资金余额</w:t>
            </w:r>
          </w:p>
        </w:tc>
        <w:tc>
          <w:tcPr>
            <w:tcW w:w="285" w:type="pct"/>
            <w:vAlign w:val="center"/>
          </w:tcPr>
          <w:p w14:paraId="39C338C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占用形成原因</w:t>
            </w:r>
          </w:p>
        </w:tc>
        <w:tc>
          <w:tcPr>
            <w:tcW w:w="456" w:type="pct"/>
            <w:vAlign w:val="center"/>
          </w:tcPr>
          <w:p w14:paraId="11667B9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占用性质</w:t>
            </w:r>
          </w:p>
        </w:tc>
      </w:tr>
      <w:tr w:rsidR="00820CAC" w:rsidRPr="00820CAC" w14:paraId="5F48B5FA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3380078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460" w:type="pct"/>
            <w:vAlign w:val="center"/>
          </w:tcPr>
          <w:p w14:paraId="51AC8CBF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3A04DA8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7D010CF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24218275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34969141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0F4F40C9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E750E2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BACAB50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4A34D7EE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684CA451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3E3413F3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037A300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01907DB2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1F32B549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7617E05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722C7C9D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2FB57FC2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60F2FE88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51B8511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BCCB8F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27E0A2C4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6FD0F42B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77C4AA3F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6EEE34B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460" w:type="pct"/>
            <w:vAlign w:val="center"/>
          </w:tcPr>
          <w:p w14:paraId="4368DF04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520" w:type="pct"/>
            <w:vAlign w:val="center"/>
          </w:tcPr>
          <w:p w14:paraId="29407F9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5" w:type="pct"/>
            <w:vAlign w:val="center"/>
          </w:tcPr>
          <w:p w14:paraId="2A6B5CE2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9" w:type="pct"/>
            <w:noWrap/>
            <w:vAlign w:val="center"/>
          </w:tcPr>
          <w:p w14:paraId="73D71733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DA1FC3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6A5560AE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86AF4D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A3F98B8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4D2C90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4576C086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</w:tr>
      <w:tr w:rsidR="00820CAC" w:rsidRPr="00820CAC" w14:paraId="48B049B4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4EC41D5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前控股股东、实际控制人及其附属企业</w:t>
            </w:r>
          </w:p>
        </w:tc>
        <w:tc>
          <w:tcPr>
            <w:tcW w:w="460" w:type="pct"/>
            <w:noWrap/>
            <w:vAlign w:val="center"/>
          </w:tcPr>
          <w:p w14:paraId="54A7309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2D00908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09B4C22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76889CA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71EF31C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00564BA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09A233B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2EA5F33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2F6FFB4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608BFB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717A4121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2E085BA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noWrap/>
            <w:vAlign w:val="center"/>
          </w:tcPr>
          <w:p w14:paraId="11B1DB2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F31692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59C761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6E6AC6F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160BD1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4741F10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47C911D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7BED6C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3F41559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487CA95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7FB2C7F9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7A2181D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460" w:type="pct"/>
            <w:vAlign w:val="center"/>
          </w:tcPr>
          <w:p w14:paraId="727F739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520" w:type="pct"/>
            <w:vAlign w:val="center"/>
          </w:tcPr>
          <w:p w14:paraId="1E8166C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5" w:type="pct"/>
            <w:vAlign w:val="center"/>
          </w:tcPr>
          <w:p w14:paraId="654FD54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9" w:type="pct"/>
            <w:noWrap/>
            <w:vAlign w:val="center"/>
          </w:tcPr>
          <w:p w14:paraId="42B6C6F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78FC8D7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0BCCA30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4496A9B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2F8D1F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E9B51A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2797A57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</w:tr>
      <w:tr w:rsidR="00820CAC" w:rsidRPr="00820CAC" w14:paraId="33E34452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08AE993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其他关联方及其附属企业</w:t>
            </w:r>
          </w:p>
        </w:tc>
        <w:tc>
          <w:tcPr>
            <w:tcW w:w="460" w:type="pct"/>
            <w:vAlign w:val="center"/>
          </w:tcPr>
          <w:p w14:paraId="2D37987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48E1A2E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333CAF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44FF3FE6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F433B4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21464C7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20F04F1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3E17FC3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9341E1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F73ADE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07C332D0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30C0C99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F03855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751F5DB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4F5BA3F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09AE8DF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888A53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7D36946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31E73AE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ECCB9A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5EFB9C9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5B3A4B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非经营性占用</w:t>
            </w:r>
          </w:p>
        </w:tc>
      </w:tr>
      <w:tr w:rsidR="00820CAC" w:rsidRPr="00820CAC" w14:paraId="0B960666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668114B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460" w:type="pct"/>
            <w:vAlign w:val="center"/>
          </w:tcPr>
          <w:p w14:paraId="0105022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520" w:type="pct"/>
            <w:vAlign w:val="center"/>
          </w:tcPr>
          <w:p w14:paraId="382F8EA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5" w:type="pct"/>
            <w:vAlign w:val="center"/>
          </w:tcPr>
          <w:p w14:paraId="1381186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9" w:type="pct"/>
            <w:noWrap/>
            <w:vAlign w:val="center"/>
          </w:tcPr>
          <w:p w14:paraId="5A92FEE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54493CE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18B16B9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979504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E08A3A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5C7A456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9C5929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6A2BA26F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1580327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460" w:type="pct"/>
            <w:vAlign w:val="center"/>
          </w:tcPr>
          <w:p w14:paraId="721D275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520" w:type="pct"/>
            <w:vAlign w:val="center"/>
          </w:tcPr>
          <w:p w14:paraId="637C321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5" w:type="pct"/>
            <w:vAlign w:val="center"/>
          </w:tcPr>
          <w:p w14:paraId="2E9985D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9" w:type="pct"/>
            <w:noWrap/>
            <w:vAlign w:val="center"/>
          </w:tcPr>
          <w:p w14:paraId="52AFCCB6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3D4D52E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5A71901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51B213C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37ADAD6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1CE343A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5A65C3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</w:tr>
      <w:tr w:rsidR="00820CAC" w:rsidRPr="00820CAC" w14:paraId="27E0F808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270365F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其他关联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br/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资金往来</w:t>
            </w:r>
          </w:p>
        </w:tc>
        <w:tc>
          <w:tcPr>
            <w:tcW w:w="460" w:type="pct"/>
            <w:vAlign w:val="center"/>
          </w:tcPr>
          <w:p w14:paraId="486BDFA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资金往来方名称</w:t>
            </w:r>
          </w:p>
        </w:tc>
        <w:tc>
          <w:tcPr>
            <w:tcW w:w="520" w:type="pct"/>
            <w:vAlign w:val="center"/>
          </w:tcPr>
          <w:p w14:paraId="6D6F7CC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往来方与上市公司的关联关系</w:t>
            </w:r>
          </w:p>
        </w:tc>
        <w:tc>
          <w:tcPr>
            <w:tcW w:w="455" w:type="pct"/>
            <w:vAlign w:val="center"/>
          </w:tcPr>
          <w:p w14:paraId="6912D53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上市公司核算的会计科目</w:t>
            </w:r>
          </w:p>
        </w:tc>
        <w:tc>
          <w:tcPr>
            <w:tcW w:w="459" w:type="pct"/>
            <w:vAlign w:val="center"/>
          </w:tcPr>
          <w:p w14:paraId="128A0FE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年期初往来资金余额</w:t>
            </w:r>
          </w:p>
        </w:tc>
        <w:tc>
          <w:tcPr>
            <w:tcW w:w="462" w:type="pct"/>
            <w:vAlign w:val="center"/>
          </w:tcPr>
          <w:p w14:paraId="5591970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年度往来累计发生金额（不含利息）</w:t>
            </w:r>
          </w:p>
        </w:tc>
        <w:tc>
          <w:tcPr>
            <w:tcW w:w="403" w:type="pct"/>
            <w:vAlign w:val="center"/>
          </w:tcPr>
          <w:p w14:paraId="4D5B5CD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年度往来资金的利息（如有）</w:t>
            </w:r>
          </w:p>
        </w:tc>
        <w:tc>
          <w:tcPr>
            <w:tcW w:w="427" w:type="pct"/>
            <w:vAlign w:val="center"/>
          </w:tcPr>
          <w:p w14:paraId="45050BD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年度偿还累计发生金额</w:t>
            </w:r>
          </w:p>
        </w:tc>
        <w:tc>
          <w:tcPr>
            <w:tcW w:w="462" w:type="pct"/>
            <w:vAlign w:val="center"/>
          </w:tcPr>
          <w:p w14:paraId="6DA3A38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2024</w:t>
            </w: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年期末往来资金余额</w:t>
            </w:r>
          </w:p>
        </w:tc>
        <w:tc>
          <w:tcPr>
            <w:tcW w:w="285" w:type="pct"/>
            <w:vAlign w:val="center"/>
          </w:tcPr>
          <w:p w14:paraId="39C6226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往来形成原因</w:t>
            </w:r>
          </w:p>
        </w:tc>
        <w:tc>
          <w:tcPr>
            <w:tcW w:w="456" w:type="pct"/>
            <w:vAlign w:val="center"/>
          </w:tcPr>
          <w:p w14:paraId="01229CA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往来性质（经营性往来、非经营性往来）</w:t>
            </w:r>
          </w:p>
        </w:tc>
      </w:tr>
      <w:tr w:rsidR="00820CAC" w:rsidRPr="00820CAC" w14:paraId="789CE46E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7C980F5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460" w:type="pct"/>
            <w:noWrap/>
            <w:vAlign w:val="center"/>
          </w:tcPr>
          <w:p w14:paraId="7090758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西安宝钛航空材料有限公司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14:paraId="70FA594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控股股东的附属企业</w:t>
            </w:r>
          </w:p>
        </w:tc>
        <w:tc>
          <w:tcPr>
            <w:tcW w:w="455" w:type="pct"/>
            <w:vAlign w:val="center"/>
          </w:tcPr>
          <w:p w14:paraId="4F407F9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应收账款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pct"/>
            <w:noWrap/>
          </w:tcPr>
          <w:p w14:paraId="786AB81C" w14:textId="77777777" w:rsidR="00820CAC" w:rsidRPr="00820CAC" w:rsidRDefault="00820CAC" w:rsidP="009D62BB">
            <w:pPr>
              <w:rPr>
                <w:rFonts w:ascii="Arial" w:eastAsia="宋体" w:hAnsi="Arial" w:cs="Arial"/>
              </w:rPr>
            </w:pPr>
          </w:p>
        </w:tc>
        <w:tc>
          <w:tcPr>
            <w:tcW w:w="462" w:type="pct"/>
            <w:noWrap/>
            <w:vAlign w:val="center"/>
          </w:tcPr>
          <w:p w14:paraId="31261397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11,810,684.97</w:t>
            </w:r>
          </w:p>
        </w:tc>
        <w:tc>
          <w:tcPr>
            <w:tcW w:w="403" w:type="pct"/>
            <w:noWrap/>
            <w:vAlign w:val="center"/>
          </w:tcPr>
          <w:p w14:paraId="1CCA66CB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1BD6328B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35DCC33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11,810,684.97</w:t>
            </w:r>
          </w:p>
        </w:tc>
        <w:tc>
          <w:tcPr>
            <w:tcW w:w="285" w:type="pct"/>
            <w:noWrap/>
            <w:vAlign w:val="center"/>
          </w:tcPr>
          <w:p w14:paraId="406F81D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货款</w:t>
            </w:r>
          </w:p>
        </w:tc>
        <w:tc>
          <w:tcPr>
            <w:tcW w:w="456" w:type="pct"/>
            <w:vAlign w:val="center"/>
          </w:tcPr>
          <w:p w14:paraId="10D5E41D" w14:textId="484C326F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bookmarkStart w:id="1" w:name="_GoBack"/>
            <w:bookmarkEnd w:id="1"/>
            <w:r w:rsidRPr="00820CAC">
              <w:rPr>
                <w:rFonts w:ascii="Arial" w:eastAsia="宋体" w:hAnsi="Arial" w:cs="Arial"/>
                <w:sz w:val="18"/>
                <w:szCs w:val="18"/>
              </w:rPr>
              <w:t>经营性往来</w:t>
            </w:r>
          </w:p>
        </w:tc>
      </w:tr>
      <w:tr w:rsidR="00820CAC" w:rsidRPr="00820CAC" w14:paraId="63DBD50E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35F43D2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noWrap/>
            <w:vAlign w:val="center"/>
          </w:tcPr>
          <w:p w14:paraId="75DA0DD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南京宝钛新材料有限公司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14:paraId="49524F7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控股股东的附属企业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14:paraId="75C072C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其他应收款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pct"/>
            <w:noWrap/>
          </w:tcPr>
          <w:p w14:paraId="73014776" w14:textId="77777777" w:rsidR="00820CAC" w:rsidRPr="00820CAC" w:rsidRDefault="00820CAC" w:rsidP="009D62BB">
            <w:pPr>
              <w:rPr>
                <w:rFonts w:ascii="Arial" w:eastAsia="宋体" w:hAnsi="Arial" w:cs="Arial"/>
              </w:rPr>
            </w:pPr>
          </w:p>
        </w:tc>
        <w:tc>
          <w:tcPr>
            <w:tcW w:w="462" w:type="pct"/>
            <w:noWrap/>
            <w:vAlign w:val="center"/>
          </w:tcPr>
          <w:p w14:paraId="131F792C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194,400.00</w:t>
            </w:r>
          </w:p>
        </w:tc>
        <w:tc>
          <w:tcPr>
            <w:tcW w:w="403" w:type="pct"/>
            <w:noWrap/>
            <w:vAlign w:val="center"/>
          </w:tcPr>
          <w:p w14:paraId="397857D7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58CE9830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08B1556A" w14:textId="77777777" w:rsidR="00820CAC" w:rsidRPr="00820CAC" w:rsidRDefault="00820CAC" w:rsidP="009D62B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194,400.00</w:t>
            </w:r>
          </w:p>
        </w:tc>
        <w:tc>
          <w:tcPr>
            <w:tcW w:w="285" w:type="pct"/>
            <w:noWrap/>
            <w:vAlign w:val="center"/>
          </w:tcPr>
          <w:p w14:paraId="16266D2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租赁款</w:t>
            </w:r>
            <w:r w:rsidRPr="00820CAC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  <w:vAlign w:val="center"/>
          </w:tcPr>
          <w:p w14:paraId="5B36E42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经营性往来</w:t>
            </w:r>
          </w:p>
        </w:tc>
      </w:tr>
      <w:tr w:rsidR="00820CAC" w:rsidRPr="00820CAC" w14:paraId="2F3D1529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038963F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关联自然人及其控制的法人</w:t>
            </w:r>
          </w:p>
        </w:tc>
        <w:tc>
          <w:tcPr>
            <w:tcW w:w="460" w:type="pct"/>
            <w:noWrap/>
            <w:vAlign w:val="center"/>
          </w:tcPr>
          <w:p w14:paraId="48CCA11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D4CEF8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B8F129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7ACA374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3AB8612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4E733F6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3653208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2E141FB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55121B5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32B0446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167F34B2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5561956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noWrap/>
            <w:vAlign w:val="center"/>
          </w:tcPr>
          <w:p w14:paraId="1BAD12D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59B7AE9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6B0FE4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7F184242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0B2D50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47A3AC3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D135E3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B11B3A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1125E18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549423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2C08413B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291540F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上市公司的子公司及其附属企业</w:t>
            </w:r>
          </w:p>
        </w:tc>
        <w:tc>
          <w:tcPr>
            <w:tcW w:w="460" w:type="pct"/>
            <w:noWrap/>
            <w:vAlign w:val="center"/>
          </w:tcPr>
          <w:p w14:paraId="2F6B302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noWrap/>
            <w:vAlign w:val="center"/>
          </w:tcPr>
          <w:p w14:paraId="3E2441B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0FFA87C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19381698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7C7804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5B906946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4E23819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432F4B8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08726E4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28FDCF5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784DC6E1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53BB3B3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noWrap/>
            <w:vAlign w:val="center"/>
          </w:tcPr>
          <w:p w14:paraId="50DC85F3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noWrap/>
            <w:vAlign w:val="center"/>
          </w:tcPr>
          <w:p w14:paraId="370B9F9B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3F6DF7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40E7B01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35C719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5C7DE5D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64E7A0AE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250C0DC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5A7A3C1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E6087FD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79D28105" w14:textId="77777777" w:rsidTr="009D62BB">
        <w:trPr>
          <w:trHeight w:val="20"/>
          <w:jc w:val="center"/>
        </w:trPr>
        <w:tc>
          <w:tcPr>
            <w:tcW w:w="611" w:type="pct"/>
            <w:vMerge w:val="restart"/>
            <w:vAlign w:val="center"/>
          </w:tcPr>
          <w:p w14:paraId="5AD39B0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其他关联方及其附属企业</w:t>
            </w:r>
          </w:p>
        </w:tc>
        <w:tc>
          <w:tcPr>
            <w:tcW w:w="460" w:type="pct"/>
            <w:noWrap/>
            <w:vAlign w:val="center"/>
          </w:tcPr>
          <w:p w14:paraId="02EE332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noWrap/>
            <w:vAlign w:val="center"/>
          </w:tcPr>
          <w:p w14:paraId="072E3FE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4576D9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791452C6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BB85C79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0AC0446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0D0E0BD4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6EE86BA6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6576C2E0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81F0A15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3C87A94A" w14:textId="77777777" w:rsidTr="009D62BB">
        <w:trPr>
          <w:trHeight w:val="20"/>
          <w:jc w:val="center"/>
        </w:trPr>
        <w:tc>
          <w:tcPr>
            <w:tcW w:w="611" w:type="pct"/>
            <w:vMerge/>
            <w:vAlign w:val="center"/>
          </w:tcPr>
          <w:p w14:paraId="1BACA244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0" w:type="pct"/>
            <w:noWrap/>
            <w:vAlign w:val="center"/>
          </w:tcPr>
          <w:p w14:paraId="48D9D183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20" w:type="pct"/>
            <w:noWrap/>
            <w:vAlign w:val="center"/>
          </w:tcPr>
          <w:p w14:paraId="67475B04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77B8CC8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center"/>
          </w:tcPr>
          <w:p w14:paraId="19D4B6D1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10762175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3" w:type="pct"/>
            <w:noWrap/>
            <w:vAlign w:val="center"/>
          </w:tcPr>
          <w:p w14:paraId="1EEE3B74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346BA297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20493F58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85" w:type="pct"/>
            <w:noWrap/>
            <w:vAlign w:val="center"/>
          </w:tcPr>
          <w:p w14:paraId="350FC732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395993CB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820CAC" w:rsidRPr="00820CAC" w14:paraId="72E78B10" w14:textId="77777777" w:rsidTr="009D62BB">
        <w:trPr>
          <w:trHeight w:val="20"/>
          <w:jc w:val="center"/>
        </w:trPr>
        <w:tc>
          <w:tcPr>
            <w:tcW w:w="611" w:type="pct"/>
            <w:vAlign w:val="center"/>
          </w:tcPr>
          <w:p w14:paraId="3B764DDB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460" w:type="pct"/>
            <w:vAlign w:val="center"/>
          </w:tcPr>
          <w:p w14:paraId="44959975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520" w:type="pct"/>
            <w:vAlign w:val="center"/>
          </w:tcPr>
          <w:p w14:paraId="3A2D019C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5" w:type="pct"/>
            <w:vAlign w:val="center"/>
          </w:tcPr>
          <w:p w14:paraId="6BA38AEC" w14:textId="77777777" w:rsidR="00820CAC" w:rsidRPr="00820CAC" w:rsidRDefault="00820CAC" w:rsidP="009D62BB">
            <w:pPr>
              <w:widowControl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sz w:val="18"/>
                <w:szCs w:val="18"/>
              </w:rPr>
              <w:t>—</w:t>
            </w:r>
          </w:p>
        </w:tc>
        <w:tc>
          <w:tcPr>
            <w:tcW w:w="459" w:type="pct"/>
            <w:noWrap/>
            <w:vAlign w:val="center"/>
          </w:tcPr>
          <w:p w14:paraId="7C1563F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5BA9BC3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sz w:val="18"/>
                <w:szCs w:val="18"/>
              </w:rPr>
              <w:t>12,005,084.97</w:t>
            </w:r>
          </w:p>
        </w:tc>
        <w:tc>
          <w:tcPr>
            <w:tcW w:w="403" w:type="pct"/>
            <w:noWrap/>
            <w:vAlign w:val="center"/>
          </w:tcPr>
          <w:p w14:paraId="19A7A6EA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</w:tcPr>
          <w:p w14:paraId="4FBB134F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noWrap/>
            <w:vAlign w:val="center"/>
          </w:tcPr>
          <w:p w14:paraId="56E08F4C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820CAC">
              <w:rPr>
                <w:rFonts w:ascii="Arial" w:eastAsia="宋体" w:hAnsi="Arial" w:cs="Arial"/>
                <w:b/>
                <w:sz w:val="18"/>
                <w:szCs w:val="18"/>
              </w:rPr>
              <w:t>12,005,084.97</w:t>
            </w:r>
          </w:p>
        </w:tc>
        <w:tc>
          <w:tcPr>
            <w:tcW w:w="285" w:type="pct"/>
            <w:vAlign w:val="center"/>
          </w:tcPr>
          <w:p w14:paraId="7FE62907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3BC0EA41" w14:textId="77777777" w:rsidR="00820CAC" w:rsidRPr="00820CAC" w:rsidRDefault="00820CAC" w:rsidP="009D62B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14:paraId="3A2C9221" w14:textId="31DFC7DF" w:rsidR="009405E5" w:rsidRPr="00360658" w:rsidRDefault="00CD61BB" w:rsidP="00820CAC">
      <w:pPr>
        <w:spacing w:beforeLines="50" w:before="156"/>
        <w:rPr>
          <w:rFonts w:ascii="宋体" w:eastAsia="宋体" w:hAnsi="宋体"/>
          <w:bCs/>
          <w:sz w:val="18"/>
          <w:szCs w:val="18"/>
        </w:rPr>
      </w:pPr>
      <w:r w:rsidRPr="00360658">
        <w:rPr>
          <w:rFonts w:ascii="宋体" w:eastAsia="宋体" w:hAnsi="宋体" w:hint="eastAsia"/>
          <w:bCs/>
          <w:sz w:val="18"/>
          <w:szCs w:val="18"/>
        </w:rPr>
        <w:t xml:space="preserve">法定代表人：薛凯                      </w:t>
      </w:r>
      <w:r w:rsidR="00360658" w:rsidRPr="00360658">
        <w:rPr>
          <w:rFonts w:ascii="宋体" w:eastAsia="宋体" w:hAnsi="宋体" w:hint="eastAsia"/>
          <w:bCs/>
          <w:sz w:val="18"/>
          <w:szCs w:val="18"/>
        </w:rPr>
        <w:t xml:space="preserve">                   </w:t>
      </w:r>
      <w:r w:rsidR="00360658">
        <w:rPr>
          <w:rFonts w:ascii="宋体" w:eastAsia="宋体" w:hAnsi="宋体" w:hint="eastAsia"/>
          <w:bCs/>
          <w:sz w:val="18"/>
          <w:szCs w:val="18"/>
        </w:rPr>
        <w:t xml:space="preserve">     </w:t>
      </w:r>
      <w:r w:rsidR="00360658" w:rsidRPr="00360658">
        <w:rPr>
          <w:rFonts w:ascii="宋体" w:eastAsia="宋体" w:hAnsi="宋体" w:hint="eastAsia"/>
          <w:bCs/>
          <w:sz w:val="18"/>
          <w:szCs w:val="18"/>
        </w:rPr>
        <w:t xml:space="preserve"> </w:t>
      </w:r>
      <w:r w:rsidRPr="00360658">
        <w:rPr>
          <w:rFonts w:ascii="宋体" w:eastAsia="宋体" w:hAnsi="宋体" w:hint="eastAsia"/>
          <w:bCs/>
          <w:sz w:val="18"/>
          <w:szCs w:val="18"/>
        </w:rPr>
        <w:t xml:space="preserve">主管会计工作负责人：刘义忠                      </w:t>
      </w:r>
      <w:r w:rsidR="00360658" w:rsidRPr="00360658">
        <w:rPr>
          <w:rFonts w:ascii="宋体" w:eastAsia="宋体" w:hAnsi="宋体" w:hint="eastAsia"/>
          <w:bCs/>
          <w:sz w:val="18"/>
          <w:szCs w:val="18"/>
        </w:rPr>
        <w:t xml:space="preserve">                  </w:t>
      </w:r>
      <w:r w:rsidRPr="00360658">
        <w:rPr>
          <w:rFonts w:ascii="宋体" w:eastAsia="宋体" w:hAnsi="宋体" w:hint="eastAsia"/>
          <w:bCs/>
          <w:sz w:val="18"/>
          <w:szCs w:val="18"/>
        </w:rPr>
        <w:t xml:space="preserve"> 会计机构负责人：姚毅</w:t>
      </w:r>
    </w:p>
    <w:sectPr w:rsidR="009405E5" w:rsidRPr="00360658" w:rsidSect="003E1F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00"/>
    <w:rsid w:val="00360658"/>
    <w:rsid w:val="003E1FCB"/>
    <w:rsid w:val="00820CAC"/>
    <w:rsid w:val="009405E5"/>
    <w:rsid w:val="00BB3818"/>
    <w:rsid w:val="00CD61BB"/>
    <w:rsid w:val="00E94005"/>
    <w:rsid w:val="00E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03E5"/>
  <w15:chartTrackingRefBased/>
  <w15:docId w15:val="{3E0B9D28-1CEE-481A-B0EA-6A5ACAB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20C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戴</dc:creator>
  <cp:keywords/>
  <dc:description/>
  <cp:lastModifiedBy>lp</cp:lastModifiedBy>
  <cp:revision>8</cp:revision>
  <dcterms:created xsi:type="dcterms:W3CDTF">2024-04-02T11:28:00Z</dcterms:created>
  <dcterms:modified xsi:type="dcterms:W3CDTF">2025-04-02T08:54:00Z</dcterms:modified>
</cp:coreProperties>
</file>