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FCBDD">
      <w:pPr>
        <w:spacing w:after="156" w:afterLines="50" w:line="360" w:lineRule="auto"/>
        <w:ind w:firstLine="420" w:firstLineChars="200"/>
        <w:jc w:val="right"/>
        <w:rPr>
          <w:rFonts w:hint="eastAsia"/>
        </w:rPr>
      </w:pPr>
    </w:p>
    <w:p w14:paraId="19D966AA">
      <w:pPr>
        <w:spacing w:line="360" w:lineRule="auto"/>
        <w:jc w:val="center"/>
        <w:rPr>
          <w:rFonts w:ascii="楷体" w:hAnsi="楷体" w:eastAsia="楷体" w:cs="楷体"/>
          <w:b/>
          <w:sz w:val="32"/>
          <w:szCs w:val="32"/>
        </w:rPr>
      </w:pPr>
      <w:r>
        <w:rPr>
          <w:rFonts w:hint="eastAsia" w:ascii="楷体" w:hAnsi="楷体" w:eastAsia="楷体" w:cs="楷体"/>
          <w:b/>
          <w:sz w:val="32"/>
          <w:szCs w:val="32"/>
        </w:rPr>
        <w:t>北京观韬（西安）律师事务所</w:t>
      </w:r>
    </w:p>
    <w:p w14:paraId="48EF1140">
      <w:pPr>
        <w:spacing w:line="360" w:lineRule="auto"/>
        <w:jc w:val="center"/>
        <w:rPr>
          <w:rFonts w:hint="default" w:ascii="楷体" w:hAnsi="楷体" w:eastAsia="楷体" w:cs="楷体"/>
          <w:b/>
          <w:sz w:val="32"/>
          <w:szCs w:val="32"/>
          <w:lang w:val="en-US" w:eastAsia="zh-CN"/>
        </w:rPr>
      </w:pPr>
      <w:r>
        <w:rPr>
          <w:rFonts w:hint="eastAsia" w:ascii="楷体" w:hAnsi="楷体" w:eastAsia="楷体" w:cs="楷体"/>
          <w:b/>
          <w:sz w:val="32"/>
          <w:szCs w:val="32"/>
        </w:rPr>
        <w:t>关于</w:t>
      </w:r>
      <w:r>
        <w:rPr>
          <w:rFonts w:hint="eastAsia" w:ascii="楷体" w:hAnsi="楷体" w:eastAsia="楷体" w:cs="楷体"/>
          <w:b/>
          <w:sz w:val="32"/>
          <w:szCs w:val="32"/>
          <w:lang w:val="en-US" w:eastAsia="zh-CN"/>
        </w:rPr>
        <w:t>南京宝色股份公司</w:t>
      </w:r>
    </w:p>
    <w:p w14:paraId="3114CCFC">
      <w:pPr>
        <w:spacing w:line="360" w:lineRule="auto"/>
        <w:jc w:val="center"/>
        <w:rPr>
          <w:rFonts w:ascii="楷体" w:hAnsi="楷体" w:eastAsia="楷体" w:cs="楷体"/>
          <w:b/>
          <w:sz w:val="32"/>
          <w:szCs w:val="32"/>
        </w:rPr>
      </w:pPr>
      <w:r>
        <w:rPr>
          <w:rFonts w:hint="eastAsia" w:ascii="楷体" w:hAnsi="楷体" w:eastAsia="楷体" w:cs="楷体"/>
          <w:b/>
          <w:sz w:val="32"/>
          <w:szCs w:val="32"/>
        </w:rPr>
        <w:t>202</w:t>
      </w:r>
      <w:r>
        <w:rPr>
          <w:rFonts w:hint="eastAsia" w:ascii="楷体" w:hAnsi="楷体" w:eastAsia="楷体" w:cs="楷体"/>
          <w:b/>
          <w:sz w:val="32"/>
          <w:szCs w:val="32"/>
          <w:lang w:val="en-US" w:eastAsia="zh-CN"/>
        </w:rPr>
        <w:t>5</w:t>
      </w:r>
      <w:r>
        <w:rPr>
          <w:rFonts w:hint="eastAsia" w:ascii="楷体" w:hAnsi="楷体" w:eastAsia="楷体" w:cs="楷体"/>
          <w:b/>
          <w:sz w:val="32"/>
          <w:szCs w:val="32"/>
        </w:rPr>
        <w:t>年第</w:t>
      </w:r>
      <w:r>
        <w:rPr>
          <w:rFonts w:hint="eastAsia" w:ascii="楷体" w:hAnsi="楷体" w:eastAsia="楷体" w:cs="楷体"/>
          <w:b/>
          <w:sz w:val="32"/>
          <w:szCs w:val="32"/>
          <w:lang w:val="en-US" w:eastAsia="zh-CN"/>
        </w:rPr>
        <w:t>二</w:t>
      </w:r>
      <w:r>
        <w:rPr>
          <w:rFonts w:hint="eastAsia" w:ascii="楷体" w:hAnsi="楷体" w:eastAsia="楷体" w:cs="楷体"/>
          <w:b/>
          <w:sz w:val="32"/>
          <w:szCs w:val="32"/>
        </w:rPr>
        <w:t>次临时股东大会的法律意见书</w:t>
      </w:r>
    </w:p>
    <w:p w14:paraId="74A6DD57">
      <w:pPr>
        <w:spacing w:line="360" w:lineRule="auto"/>
        <w:jc w:val="right"/>
        <w:rPr>
          <w:rFonts w:hint="eastAsia" w:ascii="楷体" w:hAnsi="楷体" w:eastAsia="楷体" w:cs="楷体"/>
          <w:b/>
          <w:sz w:val="24"/>
          <w:szCs w:val="24"/>
        </w:rPr>
      </w:pPr>
      <w:r>
        <w:rPr>
          <w:rFonts w:hint="eastAsia" w:ascii="楷体" w:hAnsi="楷体" w:eastAsia="楷体" w:cs="楷体"/>
          <w:b/>
          <w:sz w:val="24"/>
          <w:szCs w:val="24"/>
        </w:rPr>
        <w:tab/>
      </w:r>
    </w:p>
    <w:p w14:paraId="4F46BE0F">
      <w:pPr>
        <w:spacing w:line="360" w:lineRule="auto"/>
        <w:jc w:val="right"/>
        <w:rPr>
          <w:rFonts w:ascii="楷体" w:hAnsi="楷体" w:eastAsia="楷体" w:cs="楷体"/>
          <w:b/>
          <w:sz w:val="24"/>
          <w:szCs w:val="24"/>
        </w:rPr>
      </w:pPr>
      <w:r>
        <w:rPr>
          <w:rFonts w:hint="eastAsia" w:ascii="楷体" w:hAnsi="楷体" w:eastAsia="楷体" w:cs="楷体"/>
          <w:b/>
          <w:sz w:val="24"/>
          <w:szCs w:val="24"/>
        </w:rPr>
        <w:t>观意字2025XA000460号</w:t>
      </w:r>
    </w:p>
    <w:p w14:paraId="41F9A556">
      <w:pPr>
        <w:spacing w:before="156" w:beforeLines="50" w:after="156" w:afterLines="50" w:line="360" w:lineRule="auto"/>
        <w:rPr>
          <w:rFonts w:ascii="楷体" w:hAnsi="楷体" w:eastAsia="楷体" w:cs="楷体"/>
          <w:b/>
          <w:bCs/>
          <w:sz w:val="24"/>
        </w:rPr>
      </w:pPr>
      <w:r>
        <w:rPr>
          <w:rFonts w:hint="eastAsia" w:ascii="楷体" w:hAnsi="楷体" w:eastAsia="楷体" w:cs="楷体"/>
          <w:b/>
          <w:bCs/>
          <w:sz w:val="24"/>
        </w:rPr>
        <w:t>致：</w:t>
      </w:r>
      <w:r>
        <w:rPr>
          <w:rFonts w:hint="eastAsia" w:ascii="楷体" w:hAnsi="楷体" w:eastAsia="楷体" w:cs="楷体"/>
          <w:b/>
          <w:bCs/>
          <w:sz w:val="24"/>
          <w:lang w:val="en-US" w:eastAsia="zh-CN"/>
        </w:rPr>
        <w:t>南京宝色股份公司</w:t>
      </w:r>
    </w:p>
    <w:p w14:paraId="6D8A5B3A">
      <w:pPr>
        <w:spacing w:after="156" w:afterLines="50" w:line="360" w:lineRule="auto"/>
        <w:ind w:firstLine="480" w:firstLineChars="200"/>
        <w:rPr>
          <w:rFonts w:hint="eastAsia" w:ascii="楷体" w:hAnsi="楷体" w:eastAsia="楷体" w:cs="楷体"/>
          <w:sz w:val="24"/>
        </w:rPr>
      </w:pPr>
      <w:r>
        <w:rPr>
          <w:rFonts w:hint="eastAsia" w:ascii="楷体" w:hAnsi="楷体" w:eastAsia="楷体" w:cs="楷体"/>
          <w:sz w:val="24"/>
        </w:rPr>
        <w:t>北京观韬（西安）律师事务所（以下简称“本所”）受</w:t>
      </w:r>
      <w:r>
        <w:rPr>
          <w:rFonts w:hint="eastAsia" w:ascii="楷体" w:hAnsi="楷体" w:eastAsia="楷体" w:cs="楷体"/>
          <w:sz w:val="24"/>
          <w:lang w:val="en-US" w:eastAsia="zh-CN"/>
        </w:rPr>
        <w:t>南京宝色股份公司</w:t>
      </w:r>
      <w:r>
        <w:rPr>
          <w:rFonts w:hint="eastAsia" w:ascii="楷体" w:hAnsi="楷体" w:eastAsia="楷体" w:cs="楷体"/>
          <w:sz w:val="24"/>
        </w:rPr>
        <w:t>（以下简称“公司”）之委托，指派律师</w:t>
      </w:r>
      <w:r>
        <w:rPr>
          <w:rFonts w:hint="eastAsia" w:ascii="楷体" w:hAnsi="楷体" w:eastAsia="楷体" w:cs="楷体"/>
          <w:sz w:val="24"/>
          <w:lang w:val="en-US" w:eastAsia="zh-CN"/>
        </w:rPr>
        <w:t>出席</w:t>
      </w:r>
      <w:r>
        <w:rPr>
          <w:rFonts w:hint="eastAsia" w:ascii="楷体" w:hAnsi="楷体" w:eastAsia="楷体" w:cs="楷体"/>
          <w:sz w:val="24"/>
        </w:rPr>
        <w:t>202</w:t>
      </w:r>
      <w:r>
        <w:rPr>
          <w:rFonts w:hint="eastAsia" w:ascii="楷体" w:hAnsi="楷体" w:eastAsia="楷体" w:cs="楷体"/>
          <w:sz w:val="24"/>
          <w:lang w:val="en-US" w:eastAsia="zh-CN"/>
        </w:rPr>
        <w:t>5</w:t>
      </w:r>
      <w:r>
        <w:rPr>
          <w:rFonts w:hint="eastAsia" w:ascii="楷体" w:hAnsi="楷体" w:eastAsia="楷体" w:cs="楷体"/>
          <w:sz w:val="24"/>
        </w:rPr>
        <w:t>年</w:t>
      </w:r>
      <w:r>
        <w:rPr>
          <w:rFonts w:hint="eastAsia" w:ascii="楷体" w:hAnsi="楷体" w:eastAsia="楷体" w:cs="楷体"/>
          <w:sz w:val="24"/>
          <w:lang w:val="en-US" w:eastAsia="zh-CN"/>
        </w:rPr>
        <w:t>9</w:t>
      </w:r>
      <w:r>
        <w:rPr>
          <w:rFonts w:hint="eastAsia" w:ascii="楷体" w:hAnsi="楷体" w:eastAsia="楷体" w:cs="楷体"/>
          <w:sz w:val="24"/>
        </w:rPr>
        <w:t>月</w:t>
      </w:r>
      <w:r>
        <w:rPr>
          <w:rFonts w:hint="eastAsia" w:ascii="楷体" w:hAnsi="楷体" w:eastAsia="楷体" w:cs="楷体"/>
          <w:sz w:val="24"/>
          <w:lang w:val="en-US" w:eastAsia="zh-CN"/>
        </w:rPr>
        <w:t>25</w:t>
      </w:r>
      <w:r>
        <w:rPr>
          <w:rFonts w:hint="eastAsia" w:ascii="楷体" w:hAnsi="楷体" w:eastAsia="楷体" w:cs="楷体"/>
          <w:sz w:val="24"/>
        </w:rPr>
        <w:t>日召开的公司2025年第</w:t>
      </w:r>
      <w:r>
        <w:rPr>
          <w:rFonts w:hint="eastAsia" w:ascii="楷体" w:hAnsi="楷体" w:eastAsia="楷体" w:cs="楷体"/>
          <w:sz w:val="24"/>
          <w:lang w:val="en-US" w:eastAsia="zh-CN"/>
        </w:rPr>
        <w:t>二</w:t>
      </w:r>
      <w:r>
        <w:rPr>
          <w:rFonts w:hint="eastAsia" w:ascii="楷体" w:hAnsi="楷体" w:eastAsia="楷体" w:cs="楷体"/>
          <w:sz w:val="24"/>
        </w:rPr>
        <w:t>次临时股东大会（以下简称“本次股东大会”），</w:t>
      </w:r>
      <w:r>
        <w:rPr>
          <w:rFonts w:hint="eastAsia" w:ascii="楷体" w:hAnsi="楷体" w:eastAsia="楷体" w:cs="楷体"/>
          <w:sz w:val="24"/>
          <w:lang w:val="en-US" w:eastAsia="zh-CN"/>
        </w:rPr>
        <w:t>并</w:t>
      </w:r>
      <w:r>
        <w:rPr>
          <w:rFonts w:hint="eastAsia" w:ascii="楷体" w:hAnsi="楷体" w:eastAsia="楷体" w:cs="楷体"/>
          <w:sz w:val="24"/>
        </w:rPr>
        <w:t>根据《中华人民共和国公司法》（以下简称“《公司法》”）、《中华人民共和国证券法》（以下简称“《证券法》”）等相关法律、行政法规、《上市公司</w:t>
      </w:r>
      <w:r>
        <w:rPr>
          <w:rFonts w:hint="eastAsia" w:ascii="楷体" w:hAnsi="楷体" w:eastAsia="楷体" w:cs="楷体"/>
          <w:sz w:val="24"/>
          <w:lang w:eastAsia="zh-CN"/>
        </w:rPr>
        <w:t>股东大会</w:t>
      </w:r>
      <w:r>
        <w:rPr>
          <w:rFonts w:hint="eastAsia" w:ascii="楷体" w:hAnsi="楷体" w:eastAsia="楷体" w:cs="楷体"/>
          <w:sz w:val="24"/>
        </w:rPr>
        <w:t>规则》（以下简称“《规则》”）以及公司现行有效的《公司章程》的有关规定，就本次股东大会相关事项出具本法律意见书。</w:t>
      </w:r>
    </w:p>
    <w:p w14:paraId="4A3895E3">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为出具本法律意见书，本所律师查询了公司在信息披露媒体上刊登的相关公告，核查了公司提供的有关本次股东大会的文件，听取了公司就有关事实的陈述和说明，列席了本次股东大会。公司已经向本所律师提供了本所律师认为出具本法律意见书所必需的、真实、准确、完整的原始书面材料、副本材料或者口头证言，并无任何隐瞒、虚假、误导或重大遗漏之处；公司保证提供的正本与副本一致、原件与复印件一致；公司保证所提供的文件、材料上的所有签字和印章均是真实的；公司保证向本所律师作出的所有口头陈述和说明的事实均与所发生的事实一致。</w:t>
      </w:r>
    </w:p>
    <w:p w14:paraId="2386C6E6">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本所及经办律师依据《公司法》《证券法》《律师事务所从事证券法律业务管理办法》和《律师事务所证券法律业务执业规则（试行）》等规定及本法律意见书出具日以前已经发生或者存在的事实，严格履行了法定职责，遵循了勤勉尽责和诚实信用原则，进行了充分的核查验证，保证本法律意见所认定的事实真实、准确、完整，所发表的结论性意见合法、准确，不存在虚假记载、误导性陈述或者重大遗漏，并承担相应法律责任。本法律意见书中涉及的</w:t>
      </w:r>
      <w:r>
        <w:rPr>
          <w:rFonts w:hint="eastAsia" w:ascii="楷体" w:hAnsi="楷体" w:eastAsia="楷体" w:cs="楷体"/>
          <w:sz w:val="24"/>
          <w:lang w:val="en-US" w:eastAsia="zh-CN"/>
        </w:rPr>
        <w:t>股份</w:t>
      </w:r>
      <w:r>
        <w:rPr>
          <w:rFonts w:hint="eastAsia" w:ascii="楷体" w:hAnsi="楷体" w:eastAsia="楷体" w:cs="楷体"/>
          <w:sz w:val="24"/>
        </w:rPr>
        <w:t>比例数值均采用四舍五入并保留至小数点后四位。</w:t>
      </w:r>
    </w:p>
    <w:p w14:paraId="37E7C71B">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本法律意见书仅供公司为本次股东大会之目的而使用，除非事先取得本所律师的书面授权，任何单位和个人均不得将本法律意见书或其任何部分用作任何其他目的。</w:t>
      </w:r>
    </w:p>
    <w:p w14:paraId="658AE062">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本所同意公司将本法律意见书作为公司本次股东大会公告材料，随其他需公告的信息一起向公众披露。</w:t>
      </w:r>
    </w:p>
    <w:p w14:paraId="1787BC51">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本所律师根据《规则》第</w:t>
      </w:r>
      <w:r>
        <w:rPr>
          <w:rFonts w:hint="eastAsia" w:ascii="楷体" w:hAnsi="楷体" w:eastAsia="楷体" w:cs="楷体"/>
          <w:sz w:val="24"/>
          <w:lang w:val="en-US" w:eastAsia="zh-CN"/>
        </w:rPr>
        <w:t>六</w:t>
      </w:r>
      <w:r>
        <w:rPr>
          <w:rFonts w:hint="eastAsia" w:ascii="楷体" w:hAnsi="楷体" w:eastAsia="楷体" w:cs="楷体"/>
          <w:sz w:val="24"/>
        </w:rPr>
        <w:t>条的要求，按照律师行业公认的业务标准、道德规范和勤勉尽责精神，对公司提供的文件和有关事实进行了核查和验证，现出具法律意见如下：</w:t>
      </w:r>
    </w:p>
    <w:p w14:paraId="1F8C7CDF">
      <w:pPr>
        <w:spacing w:before="156" w:beforeLines="50" w:after="156" w:afterLines="50" w:line="360" w:lineRule="auto"/>
        <w:ind w:firstLine="482" w:firstLineChars="200"/>
        <w:outlineLvl w:val="0"/>
        <w:rPr>
          <w:rFonts w:ascii="楷体" w:hAnsi="楷体" w:eastAsia="楷体" w:cs="楷体"/>
          <w:b/>
          <w:bCs/>
          <w:sz w:val="24"/>
        </w:rPr>
      </w:pPr>
      <w:r>
        <w:rPr>
          <w:rFonts w:hint="eastAsia" w:ascii="楷体" w:hAnsi="楷体" w:eastAsia="楷体" w:cs="楷体"/>
          <w:b/>
          <w:bCs/>
          <w:sz w:val="24"/>
        </w:rPr>
        <w:t>一、关于本次股东大会的召集和召开程序</w:t>
      </w:r>
    </w:p>
    <w:p w14:paraId="1912919F">
      <w:pPr>
        <w:spacing w:after="156" w:afterLines="50" w:line="360" w:lineRule="auto"/>
        <w:ind w:firstLine="480" w:firstLineChars="200"/>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本次股东大会由</w:t>
      </w:r>
      <w:r>
        <w:rPr>
          <w:rFonts w:hint="eastAsia" w:ascii="楷体" w:hAnsi="楷体" w:eastAsia="楷体" w:cs="楷体"/>
          <w:sz w:val="24"/>
        </w:rPr>
        <w:t>公司</w:t>
      </w:r>
      <w:r>
        <w:rPr>
          <w:rFonts w:hint="eastAsia" w:ascii="楷体" w:hAnsi="楷体" w:eastAsia="楷体" w:cs="楷体"/>
          <w:sz w:val="24"/>
          <w:lang w:val="en-US" w:eastAsia="zh-CN"/>
        </w:rPr>
        <w:t>董事会根据2025年8月27日召开的公司</w:t>
      </w:r>
      <w:r>
        <w:rPr>
          <w:rFonts w:hint="eastAsia" w:ascii="楷体" w:hAnsi="楷体" w:eastAsia="楷体" w:cs="楷体"/>
          <w:sz w:val="24"/>
        </w:rPr>
        <w:t>第</w:t>
      </w:r>
      <w:r>
        <w:rPr>
          <w:rFonts w:hint="eastAsia" w:ascii="楷体" w:hAnsi="楷体" w:eastAsia="楷体" w:cs="楷体"/>
          <w:sz w:val="24"/>
          <w:lang w:val="en-US" w:eastAsia="zh-CN"/>
        </w:rPr>
        <w:t>六</w:t>
      </w:r>
      <w:r>
        <w:rPr>
          <w:rFonts w:hint="eastAsia" w:ascii="楷体" w:hAnsi="楷体" w:eastAsia="楷体" w:cs="楷体"/>
          <w:sz w:val="24"/>
        </w:rPr>
        <w:t>届董事会第</w:t>
      </w:r>
      <w:r>
        <w:rPr>
          <w:rFonts w:hint="eastAsia" w:ascii="楷体" w:hAnsi="楷体" w:eastAsia="楷体" w:cs="楷体"/>
          <w:sz w:val="24"/>
          <w:lang w:val="en-US" w:eastAsia="zh-CN"/>
        </w:rPr>
        <w:t>十四</w:t>
      </w:r>
      <w:r>
        <w:rPr>
          <w:rFonts w:hint="eastAsia" w:ascii="楷体" w:hAnsi="楷体" w:eastAsia="楷体" w:cs="楷体"/>
          <w:sz w:val="24"/>
        </w:rPr>
        <w:t>次会议</w:t>
      </w:r>
      <w:r>
        <w:rPr>
          <w:rFonts w:hint="eastAsia" w:ascii="楷体" w:hAnsi="楷体" w:eastAsia="楷体" w:cs="楷体"/>
          <w:sz w:val="24"/>
          <w:lang w:val="en-US" w:eastAsia="zh-CN"/>
        </w:rPr>
        <w:t>决议召集</w:t>
      </w:r>
      <w:r>
        <w:rPr>
          <w:rFonts w:hint="eastAsia" w:ascii="楷体" w:hAnsi="楷体" w:eastAsia="楷体" w:cs="楷体"/>
          <w:sz w:val="24"/>
        </w:rPr>
        <w:t>。</w:t>
      </w:r>
    </w:p>
    <w:p w14:paraId="74D6D85D">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2.公司董事会于</w:t>
      </w:r>
      <w:r>
        <w:rPr>
          <w:rFonts w:ascii="楷体" w:hAnsi="楷体" w:eastAsia="楷体" w:cs="楷体"/>
          <w:sz w:val="24"/>
        </w:rPr>
        <w:t>20</w:t>
      </w:r>
      <w:r>
        <w:rPr>
          <w:rFonts w:hint="eastAsia" w:ascii="楷体" w:hAnsi="楷体" w:eastAsia="楷体" w:cs="楷体"/>
          <w:sz w:val="24"/>
        </w:rPr>
        <w:t>2</w:t>
      </w:r>
      <w:r>
        <w:rPr>
          <w:rFonts w:hint="eastAsia" w:ascii="楷体" w:hAnsi="楷体" w:eastAsia="楷体" w:cs="楷体"/>
          <w:sz w:val="24"/>
          <w:lang w:val="en-US" w:eastAsia="zh-CN"/>
        </w:rPr>
        <w:t>5</w:t>
      </w:r>
      <w:r>
        <w:rPr>
          <w:rFonts w:hint="eastAsia" w:ascii="楷体" w:hAnsi="楷体" w:eastAsia="楷体" w:cs="楷体"/>
          <w:sz w:val="24"/>
        </w:rPr>
        <w:t>年</w:t>
      </w:r>
      <w:r>
        <w:rPr>
          <w:rFonts w:hint="eastAsia" w:ascii="楷体" w:hAnsi="楷体" w:eastAsia="楷体" w:cs="楷体"/>
          <w:sz w:val="24"/>
          <w:lang w:val="en-US" w:eastAsia="zh-CN"/>
        </w:rPr>
        <w:t>9</w:t>
      </w:r>
      <w:r>
        <w:rPr>
          <w:rFonts w:hint="eastAsia" w:ascii="楷体" w:hAnsi="楷体" w:eastAsia="楷体" w:cs="楷体"/>
          <w:sz w:val="24"/>
        </w:rPr>
        <w:t>月</w:t>
      </w:r>
      <w:r>
        <w:rPr>
          <w:rFonts w:hint="eastAsia" w:ascii="楷体" w:hAnsi="楷体" w:eastAsia="楷体" w:cs="楷体"/>
          <w:sz w:val="24"/>
          <w:lang w:val="en-US" w:eastAsia="zh-CN"/>
        </w:rPr>
        <w:t>10</w:t>
      </w:r>
      <w:r>
        <w:rPr>
          <w:rFonts w:hint="eastAsia" w:ascii="楷体" w:hAnsi="楷体" w:eastAsia="楷体" w:cs="楷体"/>
          <w:sz w:val="24"/>
        </w:rPr>
        <w:t>日在中国证券监督管理委员会指定的信息披露媒体及相关网站上刊登了《</w:t>
      </w:r>
      <w:r>
        <w:rPr>
          <w:rFonts w:hint="eastAsia" w:ascii="楷体" w:hAnsi="楷体" w:eastAsia="楷体" w:cs="楷体"/>
          <w:sz w:val="24"/>
          <w:lang w:val="en-US" w:eastAsia="zh-CN"/>
        </w:rPr>
        <w:t>南京宝色股份公司</w:t>
      </w:r>
      <w:r>
        <w:rPr>
          <w:rFonts w:hint="eastAsia" w:ascii="楷体" w:hAnsi="楷体" w:eastAsia="楷体" w:cs="楷体"/>
          <w:sz w:val="24"/>
        </w:rPr>
        <w:t>关于召开2025年第</w:t>
      </w:r>
      <w:r>
        <w:rPr>
          <w:rFonts w:hint="eastAsia" w:ascii="楷体" w:hAnsi="楷体" w:eastAsia="楷体" w:cs="楷体"/>
          <w:sz w:val="24"/>
          <w:lang w:val="en-US" w:eastAsia="zh-CN"/>
        </w:rPr>
        <w:t>二</w:t>
      </w:r>
      <w:r>
        <w:rPr>
          <w:rFonts w:hint="eastAsia" w:ascii="楷体" w:hAnsi="楷体" w:eastAsia="楷体" w:cs="楷体"/>
          <w:sz w:val="24"/>
        </w:rPr>
        <w:t>次临时股东大会</w:t>
      </w:r>
      <w:r>
        <w:rPr>
          <w:rFonts w:hint="eastAsia" w:ascii="楷体" w:hAnsi="楷体" w:eastAsia="楷体" w:cs="楷体"/>
          <w:sz w:val="24"/>
          <w:lang w:eastAsia="zh-CN"/>
        </w:rPr>
        <w:t>的</w:t>
      </w:r>
      <w:r>
        <w:rPr>
          <w:rFonts w:hint="eastAsia" w:ascii="楷体" w:hAnsi="楷体" w:eastAsia="楷体" w:cs="楷体"/>
          <w:sz w:val="24"/>
        </w:rPr>
        <w:t>通知》（以下简称“《股东大会通知》”），以公告形式通知召开本次股东大会。</w:t>
      </w:r>
    </w:p>
    <w:p w14:paraId="765F47F0">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《股东大会通知》载明了本次股东大会的会议届次、召集人、召开日期和时间、召开方式、会议出席对象、会议地点、会议审议事项、会议登记</w:t>
      </w:r>
      <w:r>
        <w:rPr>
          <w:rFonts w:hint="eastAsia" w:ascii="楷体" w:hAnsi="楷体" w:eastAsia="楷体" w:cs="楷体"/>
          <w:sz w:val="24"/>
          <w:lang w:val="en-US" w:eastAsia="zh-CN"/>
        </w:rPr>
        <w:t>事项</w:t>
      </w:r>
      <w:r>
        <w:rPr>
          <w:rFonts w:hint="eastAsia" w:ascii="楷体" w:hAnsi="楷体" w:eastAsia="楷体" w:cs="楷体"/>
          <w:sz w:val="24"/>
        </w:rPr>
        <w:t>、参加网络投票的具体操作流程及会议联系方式等其他事项，说明了有权出席会议股东的股权登记日及其可委托代理人出席会议并参加表决的权利。公告的刊登日期距本次股东大会的召开日期已满</w:t>
      </w:r>
      <w:r>
        <w:rPr>
          <w:rFonts w:hint="eastAsia" w:ascii="楷体" w:hAnsi="楷体" w:eastAsia="楷体" w:cs="楷体"/>
          <w:sz w:val="24"/>
          <w:lang w:val="en-US" w:eastAsia="zh-CN"/>
        </w:rPr>
        <w:t>15</w:t>
      </w:r>
      <w:r>
        <w:rPr>
          <w:rFonts w:hint="eastAsia" w:ascii="楷体" w:hAnsi="楷体" w:eastAsia="楷体" w:cs="楷体"/>
          <w:sz w:val="24"/>
        </w:rPr>
        <w:t>日。</w:t>
      </w:r>
    </w:p>
    <w:p w14:paraId="69DB5D0F">
      <w:pPr>
        <w:numPr>
          <w:ilvl w:val="-1"/>
          <w:numId w:val="0"/>
        </w:num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3.公司本次股东大会采取现场投票与网络投票相结合的方式。公司本次股东大会现场会议于202</w:t>
      </w:r>
      <w:r>
        <w:rPr>
          <w:rFonts w:hint="eastAsia" w:ascii="楷体" w:hAnsi="楷体" w:eastAsia="楷体" w:cs="楷体"/>
          <w:sz w:val="24"/>
          <w:lang w:val="en-US" w:eastAsia="zh-CN"/>
        </w:rPr>
        <w:t>5</w:t>
      </w:r>
      <w:r>
        <w:rPr>
          <w:rFonts w:hint="eastAsia" w:ascii="楷体" w:hAnsi="楷体" w:eastAsia="楷体" w:cs="楷体"/>
          <w:sz w:val="24"/>
        </w:rPr>
        <w:t>年</w:t>
      </w:r>
      <w:r>
        <w:rPr>
          <w:rFonts w:hint="eastAsia" w:ascii="楷体" w:hAnsi="楷体" w:eastAsia="楷体" w:cs="楷体"/>
          <w:sz w:val="24"/>
          <w:lang w:val="en-US" w:eastAsia="zh-CN"/>
        </w:rPr>
        <w:t>9</w:t>
      </w:r>
      <w:r>
        <w:rPr>
          <w:rFonts w:hint="eastAsia" w:ascii="楷体" w:hAnsi="楷体" w:eastAsia="楷体" w:cs="楷体"/>
          <w:sz w:val="24"/>
        </w:rPr>
        <w:t>月</w:t>
      </w:r>
      <w:r>
        <w:rPr>
          <w:rFonts w:hint="eastAsia" w:ascii="楷体" w:hAnsi="楷体" w:eastAsia="楷体" w:cs="楷体"/>
          <w:sz w:val="24"/>
          <w:lang w:val="en-US" w:eastAsia="zh-CN"/>
        </w:rPr>
        <w:t>25</w:t>
      </w:r>
      <w:r>
        <w:rPr>
          <w:rFonts w:hint="eastAsia" w:ascii="楷体" w:hAnsi="楷体" w:eastAsia="楷体" w:cs="楷体"/>
          <w:sz w:val="24"/>
        </w:rPr>
        <w:t>日下午1</w:t>
      </w:r>
      <w:r>
        <w:rPr>
          <w:rFonts w:hint="eastAsia" w:ascii="楷体" w:hAnsi="楷体" w:eastAsia="楷体" w:cs="楷体"/>
          <w:sz w:val="24"/>
          <w:lang w:val="en-US" w:eastAsia="zh-CN"/>
        </w:rPr>
        <w:t>3</w:t>
      </w:r>
      <w:r>
        <w:rPr>
          <w:rFonts w:hint="eastAsia" w:ascii="楷体" w:hAnsi="楷体" w:eastAsia="楷体" w:cs="楷体"/>
          <w:sz w:val="24"/>
        </w:rPr>
        <w:t>：</w:t>
      </w:r>
      <w:r>
        <w:rPr>
          <w:rFonts w:hint="eastAsia" w:ascii="楷体" w:hAnsi="楷体" w:eastAsia="楷体" w:cs="楷体"/>
          <w:sz w:val="24"/>
          <w:lang w:val="en-US" w:eastAsia="zh-CN"/>
        </w:rPr>
        <w:t>3</w:t>
      </w:r>
      <w:r>
        <w:rPr>
          <w:rFonts w:hint="eastAsia" w:ascii="楷体" w:hAnsi="楷体" w:eastAsia="楷体" w:cs="楷体"/>
          <w:sz w:val="24"/>
        </w:rPr>
        <w:t>0在</w:t>
      </w:r>
      <w:r>
        <w:rPr>
          <w:rFonts w:hint="eastAsia" w:ascii="楷体" w:hAnsi="楷体" w:eastAsia="楷体" w:cs="楷体"/>
          <w:sz w:val="24"/>
          <w:lang w:val="en-US" w:eastAsia="zh-CN"/>
        </w:rPr>
        <w:t>江苏省南京市江宁滨江经济开发区景明大街15号南京宝色股份公司办公楼503会议室</w:t>
      </w:r>
      <w:r>
        <w:rPr>
          <w:rFonts w:hint="eastAsia" w:ascii="楷体" w:hAnsi="楷体" w:eastAsia="楷体" w:cs="楷体"/>
          <w:sz w:val="24"/>
        </w:rPr>
        <w:t>召开</w:t>
      </w:r>
      <w:r>
        <w:rPr>
          <w:rFonts w:hint="eastAsia" w:ascii="楷体" w:hAnsi="楷体" w:eastAsia="楷体" w:cs="楷体"/>
          <w:sz w:val="24"/>
          <w:lang w:eastAsia="zh-CN"/>
        </w:rPr>
        <w:t>。</w:t>
      </w:r>
      <w:r>
        <w:rPr>
          <w:rFonts w:hint="eastAsia" w:ascii="楷体" w:hAnsi="楷体" w:eastAsia="楷体" w:cs="楷体"/>
          <w:sz w:val="24"/>
        </w:rPr>
        <w:t>董事长</w:t>
      </w:r>
      <w:r>
        <w:rPr>
          <w:rFonts w:hint="eastAsia" w:ascii="楷体" w:hAnsi="楷体" w:eastAsia="楷体" w:cs="楷体"/>
          <w:sz w:val="24"/>
          <w:lang w:val="en-US" w:eastAsia="zh-CN"/>
        </w:rPr>
        <w:t>薛凯</w:t>
      </w:r>
      <w:r>
        <w:rPr>
          <w:rFonts w:hint="eastAsia" w:ascii="楷体" w:hAnsi="楷体" w:eastAsia="楷体" w:cs="楷体"/>
          <w:sz w:val="24"/>
        </w:rPr>
        <w:t>因工作原因无法参加本次股东大会，本次股东大会由公司半数以上董事共同推举的董事</w:t>
      </w:r>
      <w:r>
        <w:rPr>
          <w:rFonts w:hint="eastAsia" w:ascii="楷体" w:hAnsi="楷体" w:eastAsia="楷体" w:cs="楷体"/>
          <w:sz w:val="24"/>
          <w:lang w:val="en-US" w:eastAsia="zh-CN"/>
        </w:rPr>
        <w:t>刘鸿彦</w:t>
      </w:r>
      <w:r>
        <w:rPr>
          <w:rFonts w:hint="eastAsia" w:ascii="楷体" w:hAnsi="楷体" w:eastAsia="楷体" w:cs="楷体"/>
          <w:sz w:val="24"/>
        </w:rPr>
        <w:t>主持。公司通过</w:t>
      </w:r>
      <w:r>
        <w:rPr>
          <w:rFonts w:hint="eastAsia" w:ascii="楷体" w:hAnsi="楷体" w:eastAsia="楷体" w:cs="楷体"/>
          <w:sz w:val="24"/>
          <w:szCs w:val="22"/>
        </w:rPr>
        <w:t>深圳证券交易所交易系统</w:t>
      </w:r>
      <w:r>
        <w:rPr>
          <w:rFonts w:hint="eastAsia" w:ascii="楷体" w:hAnsi="楷体" w:eastAsia="楷体" w:cs="楷体"/>
          <w:sz w:val="24"/>
          <w:szCs w:val="22"/>
          <w:lang w:val="en-US" w:eastAsia="zh-CN"/>
        </w:rPr>
        <w:t>和</w:t>
      </w:r>
      <w:r>
        <w:rPr>
          <w:rFonts w:hint="eastAsia" w:ascii="楷体" w:hAnsi="楷体" w:eastAsia="楷体" w:cs="楷体"/>
          <w:sz w:val="24"/>
          <w:szCs w:val="22"/>
        </w:rPr>
        <w:t>深圳证券交易所互联网</w:t>
      </w:r>
      <w:r>
        <w:rPr>
          <w:rFonts w:hint="eastAsia" w:ascii="楷体" w:hAnsi="楷体" w:eastAsia="楷体" w:cs="楷体"/>
          <w:sz w:val="24"/>
          <w:szCs w:val="22"/>
          <w:lang w:val="en-US" w:eastAsia="zh-CN"/>
        </w:rPr>
        <w:t>投票</w:t>
      </w:r>
      <w:r>
        <w:rPr>
          <w:rFonts w:hint="eastAsia" w:ascii="楷体" w:hAnsi="楷体" w:eastAsia="楷体" w:cs="楷体"/>
          <w:sz w:val="24"/>
          <w:szCs w:val="22"/>
        </w:rPr>
        <w:t>系统</w:t>
      </w:r>
      <w:r>
        <w:rPr>
          <w:rFonts w:hint="eastAsia" w:ascii="楷体" w:hAnsi="楷体" w:eastAsia="楷体" w:cs="楷体"/>
          <w:sz w:val="24"/>
        </w:rPr>
        <w:t>向股东提供网络形式的投票平台</w:t>
      </w:r>
      <w:r>
        <w:rPr>
          <w:rFonts w:hint="eastAsia" w:ascii="楷体" w:hAnsi="楷体" w:eastAsia="楷体" w:cs="楷体"/>
          <w:sz w:val="24"/>
          <w:lang w:eastAsia="zh-CN"/>
        </w:rPr>
        <w:t>，</w:t>
      </w:r>
      <w:r>
        <w:rPr>
          <w:rFonts w:hint="eastAsia" w:ascii="楷体" w:hAnsi="楷体" w:eastAsia="楷体" w:cs="楷体"/>
          <w:sz w:val="24"/>
        </w:rPr>
        <w:t>网络投票时间：</w:t>
      </w:r>
      <w:r>
        <w:rPr>
          <w:rFonts w:hint="eastAsia" w:ascii="楷体" w:hAnsi="楷体" w:eastAsia="楷体" w:cs="楷体"/>
          <w:sz w:val="24"/>
          <w:lang w:val="en-US" w:eastAsia="zh-CN"/>
        </w:rPr>
        <w:t>通过</w:t>
      </w:r>
      <w:r>
        <w:rPr>
          <w:rFonts w:hint="eastAsia" w:ascii="楷体" w:hAnsi="楷体" w:eastAsia="楷体" w:cs="楷体"/>
          <w:sz w:val="24"/>
        </w:rPr>
        <w:t>深圳证券交易所交易系统进行网络投票的时间为202</w:t>
      </w:r>
      <w:r>
        <w:rPr>
          <w:rFonts w:hint="eastAsia" w:ascii="楷体" w:hAnsi="楷体" w:eastAsia="楷体" w:cs="楷体"/>
          <w:sz w:val="24"/>
          <w:lang w:val="en-US" w:eastAsia="zh-CN"/>
        </w:rPr>
        <w:t>5</w:t>
      </w:r>
      <w:r>
        <w:rPr>
          <w:rFonts w:hint="eastAsia" w:ascii="楷体" w:hAnsi="楷体" w:eastAsia="楷体" w:cs="楷体"/>
          <w:sz w:val="24"/>
        </w:rPr>
        <w:t>年</w:t>
      </w:r>
      <w:r>
        <w:rPr>
          <w:rFonts w:hint="eastAsia" w:ascii="楷体" w:hAnsi="楷体" w:eastAsia="楷体" w:cs="楷体"/>
          <w:sz w:val="24"/>
          <w:lang w:val="en-US" w:eastAsia="zh-CN"/>
        </w:rPr>
        <w:t>9</w:t>
      </w:r>
      <w:r>
        <w:rPr>
          <w:rFonts w:hint="eastAsia" w:ascii="楷体" w:hAnsi="楷体" w:eastAsia="楷体" w:cs="楷体"/>
          <w:sz w:val="24"/>
        </w:rPr>
        <w:t>月</w:t>
      </w:r>
      <w:r>
        <w:rPr>
          <w:rFonts w:hint="eastAsia" w:ascii="楷体" w:hAnsi="楷体" w:eastAsia="楷体" w:cs="楷体"/>
          <w:sz w:val="24"/>
          <w:lang w:val="en-US" w:eastAsia="zh-CN"/>
        </w:rPr>
        <w:t>25</w:t>
      </w:r>
      <w:r>
        <w:rPr>
          <w:rFonts w:hint="eastAsia" w:ascii="楷体" w:hAnsi="楷体" w:eastAsia="楷体" w:cs="楷体"/>
          <w:sz w:val="24"/>
        </w:rPr>
        <w:t>日上午9:15至9:25、9:30</w:t>
      </w:r>
      <w:r>
        <w:rPr>
          <w:rFonts w:hint="eastAsia" w:ascii="楷体" w:hAnsi="楷体" w:eastAsia="楷体" w:cs="楷体"/>
          <w:sz w:val="24"/>
          <w:lang w:val="en-US" w:eastAsia="zh-CN"/>
        </w:rPr>
        <w:t>至</w:t>
      </w:r>
      <w:r>
        <w:rPr>
          <w:rFonts w:hint="eastAsia" w:ascii="楷体" w:hAnsi="楷体" w:eastAsia="楷体" w:cs="楷体"/>
          <w:sz w:val="24"/>
        </w:rPr>
        <w:t>11:30，下午13:00</w:t>
      </w:r>
      <w:r>
        <w:rPr>
          <w:rFonts w:hint="eastAsia" w:ascii="楷体" w:hAnsi="楷体" w:eastAsia="楷体" w:cs="楷体"/>
          <w:sz w:val="24"/>
          <w:lang w:val="en-US" w:eastAsia="zh-CN"/>
        </w:rPr>
        <w:t>至</w:t>
      </w:r>
      <w:r>
        <w:rPr>
          <w:rFonts w:hint="eastAsia" w:ascii="楷体" w:hAnsi="楷体" w:eastAsia="楷体" w:cs="楷体"/>
          <w:sz w:val="24"/>
        </w:rPr>
        <w:t>15:00；通过深圳证券交易所互联网投票系统进行投票的时间为202</w:t>
      </w:r>
      <w:r>
        <w:rPr>
          <w:rFonts w:hint="eastAsia" w:ascii="楷体" w:hAnsi="楷体" w:eastAsia="楷体" w:cs="楷体"/>
          <w:sz w:val="24"/>
          <w:lang w:val="en-US" w:eastAsia="zh-CN"/>
        </w:rPr>
        <w:t>5</w:t>
      </w:r>
      <w:r>
        <w:rPr>
          <w:rFonts w:hint="eastAsia" w:ascii="楷体" w:hAnsi="楷体" w:eastAsia="楷体" w:cs="楷体"/>
          <w:sz w:val="24"/>
        </w:rPr>
        <w:t>年</w:t>
      </w:r>
      <w:r>
        <w:rPr>
          <w:rFonts w:hint="eastAsia" w:ascii="楷体" w:hAnsi="楷体" w:eastAsia="楷体" w:cs="楷体"/>
          <w:sz w:val="24"/>
          <w:lang w:val="en-US" w:eastAsia="zh-CN"/>
        </w:rPr>
        <w:t>9</w:t>
      </w:r>
      <w:r>
        <w:rPr>
          <w:rFonts w:hint="eastAsia" w:ascii="楷体" w:hAnsi="楷体" w:eastAsia="楷体" w:cs="楷体"/>
          <w:sz w:val="24"/>
        </w:rPr>
        <w:t>月</w:t>
      </w:r>
      <w:r>
        <w:rPr>
          <w:rFonts w:hint="eastAsia" w:ascii="楷体" w:hAnsi="楷体" w:eastAsia="楷体" w:cs="楷体"/>
          <w:sz w:val="24"/>
          <w:lang w:val="en-US" w:eastAsia="zh-CN"/>
        </w:rPr>
        <w:t>25</w:t>
      </w:r>
      <w:r>
        <w:rPr>
          <w:rFonts w:hint="eastAsia" w:ascii="楷体" w:hAnsi="楷体" w:eastAsia="楷体" w:cs="楷体"/>
          <w:sz w:val="24"/>
        </w:rPr>
        <w:t>日上午9:15至下午15:00期间的任意时间。本次股东大会的召开时间、地点、投票方式与公告一致。</w:t>
      </w:r>
    </w:p>
    <w:p w14:paraId="49B22976">
      <w:pPr>
        <w:spacing w:after="156" w:afterLines="50" w:line="360" w:lineRule="auto"/>
        <w:ind w:firstLine="480" w:firstLineChars="200"/>
        <w:rPr>
          <w:rFonts w:ascii="楷体" w:hAnsi="楷体" w:eastAsia="楷体" w:cs="楷体"/>
          <w:color w:val="FF0000"/>
          <w:sz w:val="24"/>
        </w:rPr>
      </w:pPr>
      <w:r>
        <w:rPr>
          <w:rFonts w:hint="eastAsia" w:ascii="楷体" w:hAnsi="楷体" w:eastAsia="楷体" w:cs="楷体"/>
          <w:sz w:val="24"/>
        </w:rPr>
        <w:t>经本所律师核查，本次股东大会的召集、召开程序符合相关法律、行政法规、《规则》及公司现行《公司章程》的规定。</w:t>
      </w:r>
    </w:p>
    <w:p w14:paraId="0AD3F787">
      <w:pPr>
        <w:spacing w:before="156" w:beforeLines="50" w:after="156" w:afterLines="50" w:line="360" w:lineRule="auto"/>
        <w:ind w:firstLine="482" w:firstLineChars="200"/>
        <w:outlineLvl w:val="0"/>
        <w:rPr>
          <w:rFonts w:ascii="楷体" w:hAnsi="楷体" w:eastAsia="楷体" w:cs="楷体"/>
          <w:b/>
          <w:bCs/>
          <w:sz w:val="24"/>
        </w:rPr>
      </w:pPr>
      <w:r>
        <w:rPr>
          <w:rFonts w:hint="eastAsia" w:ascii="楷体" w:hAnsi="楷体" w:eastAsia="楷体" w:cs="楷体"/>
          <w:b/>
          <w:bCs/>
          <w:sz w:val="24"/>
        </w:rPr>
        <w:t>二、关于召集人资格及出席本次股东大会人员的资格</w:t>
      </w:r>
    </w:p>
    <w:p w14:paraId="59166EC9">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1.关于召集人</w:t>
      </w:r>
    </w:p>
    <w:p w14:paraId="24EC3226">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本次股东大会由公司董事会召集。</w:t>
      </w:r>
    </w:p>
    <w:p w14:paraId="623EEDD9">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2.出席本次股东大会的股东</w:t>
      </w:r>
    </w:p>
    <w:p w14:paraId="5DA47D53">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根据《股东大会通知》，截至股权登记日202</w:t>
      </w:r>
      <w:r>
        <w:rPr>
          <w:rFonts w:hint="eastAsia" w:ascii="楷体" w:hAnsi="楷体" w:eastAsia="楷体" w:cs="楷体"/>
          <w:sz w:val="24"/>
          <w:lang w:val="en-US" w:eastAsia="zh-CN"/>
        </w:rPr>
        <w:t>5</w:t>
      </w:r>
      <w:r>
        <w:rPr>
          <w:rFonts w:hint="eastAsia" w:ascii="楷体" w:hAnsi="楷体" w:eastAsia="楷体" w:cs="楷体"/>
          <w:sz w:val="24"/>
        </w:rPr>
        <w:t>年</w:t>
      </w:r>
      <w:r>
        <w:rPr>
          <w:rFonts w:hint="eastAsia" w:ascii="楷体" w:hAnsi="楷体" w:eastAsia="楷体" w:cs="楷体"/>
          <w:sz w:val="24"/>
          <w:lang w:val="en-US" w:eastAsia="zh-CN"/>
        </w:rPr>
        <w:t>9</w:t>
      </w:r>
      <w:r>
        <w:rPr>
          <w:rFonts w:hint="eastAsia" w:ascii="楷体" w:hAnsi="楷体" w:eastAsia="楷体" w:cs="楷体"/>
          <w:sz w:val="24"/>
        </w:rPr>
        <w:t>月</w:t>
      </w:r>
      <w:r>
        <w:rPr>
          <w:rFonts w:hint="eastAsia" w:ascii="楷体" w:hAnsi="楷体" w:eastAsia="楷体" w:cs="楷体"/>
          <w:sz w:val="24"/>
          <w:lang w:val="en-US" w:eastAsia="zh-CN"/>
        </w:rPr>
        <w:t>19</w:t>
      </w:r>
      <w:r>
        <w:rPr>
          <w:rFonts w:hint="eastAsia" w:ascii="楷体" w:hAnsi="楷体" w:eastAsia="楷体" w:cs="楷体"/>
          <w:sz w:val="24"/>
        </w:rPr>
        <w:t>日</w:t>
      </w:r>
      <w:r>
        <w:rPr>
          <w:rFonts w:hint="eastAsia" w:ascii="楷体" w:hAnsi="楷体" w:eastAsia="楷体" w:cs="楷体"/>
          <w:sz w:val="24"/>
          <w:lang w:val="en-US" w:eastAsia="zh-CN"/>
        </w:rPr>
        <w:t>15:00深圳证券交易所交易结束后</w:t>
      </w:r>
      <w:r>
        <w:rPr>
          <w:rFonts w:hint="eastAsia" w:ascii="楷体" w:hAnsi="楷体" w:eastAsia="楷体" w:cs="楷体"/>
          <w:sz w:val="24"/>
        </w:rPr>
        <w:t>在中国证券登记结算有限责任公司深圳分公司登记在册的全体股东均有权出席本次股东大会，并可以委托代理人出席会议和参加表决</w:t>
      </w:r>
      <w:r>
        <w:rPr>
          <w:rFonts w:hint="eastAsia" w:ascii="楷体" w:hAnsi="楷体" w:eastAsia="楷体" w:cs="楷体"/>
          <w:sz w:val="24"/>
          <w:lang w:eastAsia="zh-CN"/>
        </w:rPr>
        <w:t>，</w:t>
      </w:r>
      <w:r>
        <w:rPr>
          <w:rFonts w:hint="eastAsia" w:ascii="楷体" w:hAnsi="楷体" w:eastAsia="楷体" w:cs="楷体"/>
          <w:sz w:val="24"/>
          <w:lang w:val="en-US" w:eastAsia="zh-CN"/>
        </w:rPr>
        <w:t>该股东代理人不必是公司股东</w:t>
      </w:r>
      <w:r>
        <w:rPr>
          <w:rFonts w:hint="eastAsia" w:ascii="楷体" w:hAnsi="楷体" w:eastAsia="楷体" w:cs="楷体"/>
          <w:sz w:val="24"/>
        </w:rPr>
        <w:t>。</w:t>
      </w:r>
    </w:p>
    <w:p w14:paraId="3FC67023">
      <w:pPr>
        <w:spacing w:after="156" w:afterLines="50" w:line="360" w:lineRule="auto"/>
        <w:ind w:firstLine="480" w:firstLineChars="200"/>
        <w:rPr>
          <w:rFonts w:hint="eastAsia" w:ascii="楷体" w:hAnsi="楷体" w:eastAsia="楷体" w:cs="楷体"/>
          <w:sz w:val="24"/>
        </w:rPr>
      </w:pPr>
      <w:r>
        <w:rPr>
          <w:rFonts w:hint="eastAsia" w:ascii="楷体" w:hAnsi="楷体" w:eastAsia="楷体" w:cs="楷体"/>
          <w:sz w:val="24"/>
        </w:rPr>
        <w:t>出席本次股东大会现场会议的股东及委托代理人共</w:t>
      </w:r>
      <w:r>
        <w:rPr>
          <w:rFonts w:hint="eastAsia" w:ascii="楷体" w:hAnsi="楷体" w:eastAsia="楷体" w:cs="楷体"/>
          <w:sz w:val="24"/>
          <w:lang w:val="en-US" w:eastAsia="zh-CN"/>
        </w:rPr>
        <w:t>2</w:t>
      </w:r>
      <w:r>
        <w:rPr>
          <w:rFonts w:hint="eastAsia" w:ascii="楷体" w:hAnsi="楷体" w:eastAsia="楷体" w:cs="楷体"/>
          <w:sz w:val="24"/>
        </w:rPr>
        <w:t>人，代表公司股份</w:t>
      </w:r>
      <w:r>
        <w:rPr>
          <w:rFonts w:hint="eastAsia" w:ascii="楷体" w:hAnsi="楷体" w:eastAsia="楷体" w:cs="楷体"/>
          <w:sz w:val="24"/>
          <w:lang w:eastAsia="zh-CN"/>
        </w:rPr>
        <w:t>13</w:t>
      </w:r>
      <w:r>
        <w:rPr>
          <w:rFonts w:hint="eastAsia" w:ascii="楷体" w:hAnsi="楷体" w:eastAsia="楷体" w:cs="楷体"/>
          <w:sz w:val="24"/>
          <w:lang w:val="en-US" w:eastAsia="zh-CN"/>
        </w:rPr>
        <w:t>4</w:t>
      </w:r>
      <w:r>
        <w:rPr>
          <w:rFonts w:hint="eastAsia" w:ascii="楷体" w:hAnsi="楷体" w:eastAsia="楷体" w:cs="楷体"/>
          <w:sz w:val="24"/>
          <w:lang w:eastAsia="zh-CN"/>
        </w:rPr>
        <w:t>,</w:t>
      </w:r>
      <w:r>
        <w:rPr>
          <w:rFonts w:hint="eastAsia" w:ascii="楷体" w:hAnsi="楷体" w:eastAsia="楷体" w:cs="楷体"/>
          <w:sz w:val="24"/>
          <w:lang w:val="en-US" w:eastAsia="zh-CN"/>
        </w:rPr>
        <w:t>65</w:t>
      </w:r>
      <w:r>
        <w:rPr>
          <w:rFonts w:hint="eastAsia" w:ascii="楷体" w:hAnsi="楷体" w:eastAsia="楷体" w:cs="楷体"/>
          <w:sz w:val="24"/>
          <w:lang w:eastAsia="zh-CN"/>
        </w:rPr>
        <w:t>0,000</w:t>
      </w:r>
      <w:r>
        <w:rPr>
          <w:rFonts w:hint="eastAsia" w:ascii="楷体" w:hAnsi="楷体" w:eastAsia="楷体" w:cs="楷体"/>
          <w:sz w:val="24"/>
        </w:rPr>
        <w:t>股，占公司股份总数</w:t>
      </w:r>
      <w:r>
        <w:rPr>
          <w:rFonts w:hint="eastAsia" w:ascii="楷体" w:hAnsi="楷体" w:eastAsia="楷体" w:cs="楷体"/>
          <w:sz w:val="24"/>
          <w:highlight w:val="none"/>
        </w:rPr>
        <w:t>的</w:t>
      </w:r>
      <w:r>
        <w:rPr>
          <w:rFonts w:hint="eastAsia" w:ascii="楷体" w:hAnsi="楷体" w:eastAsia="楷体" w:cs="楷体"/>
          <w:sz w:val="24"/>
          <w:highlight w:val="none"/>
          <w:lang w:val="en-US" w:eastAsia="zh-CN"/>
        </w:rPr>
        <w:t>54.5833%</w:t>
      </w:r>
      <w:r>
        <w:rPr>
          <w:rFonts w:hint="eastAsia" w:ascii="楷体" w:hAnsi="楷体" w:eastAsia="楷体" w:cs="楷体"/>
          <w:sz w:val="24"/>
          <w:highlight w:val="none"/>
        </w:rPr>
        <w:t>，</w:t>
      </w:r>
      <w:r>
        <w:rPr>
          <w:rFonts w:hint="eastAsia" w:ascii="楷体" w:hAnsi="楷体" w:eastAsia="楷体" w:cs="楷体"/>
          <w:sz w:val="24"/>
        </w:rPr>
        <w:t>均为股权登记日在册股东。</w:t>
      </w:r>
    </w:p>
    <w:p w14:paraId="543BD8C3">
      <w:pPr>
        <w:spacing w:after="156" w:afterLines="50" w:line="360" w:lineRule="auto"/>
        <w:ind w:firstLine="480" w:firstLineChars="200"/>
        <w:rPr>
          <w:rFonts w:ascii="楷体" w:hAnsi="楷体" w:eastAsia="楷体" w:cs="楷体"/>
          <w:sz w:val="24"/>
          <w:highlight w:val="none"/>
        </w:rPr>
      </w:pPr>
      <w:r>
        <w:rPr>
          <w:rFonts w:hint="eastAsia" w:ascii="楷体" w:hAnsi="楷体" w:eastAsia="楷体" w:cs="楷体"/>
          <w:sz w:val="24"/>
        </w:rPr>
        <w:t>本次股东大会通过网络系统进行表决的股东共</w:t>
      </w:r>
      <w:r>
        <w:rPr>
          <w:rFonts w:hint="eastAsia" w:ascii="楷体" w:hAnsi="楷体" w:eastAsia="楷体" w:cs="楷体"/>
          <w:sz w:val="24"/>
          <w:lang w:val="en-US" w:eastAsia="zh-CN"/>
        </w:rPr>
        <w:t>176</w:t>
      </w:r>
      <w:r>
        <w:rPr>
          <w:rFonts w:hint="eastAsia" w:ascii="楷体" w:hAnsi="楷体" w:eastAsia="楷体" w:cs="楷体"/>
          <w:sz w:val="24"/>
          <w:highlight w:val="none"/>
        </w:rPr>
        <w:t>人，代表公司股份</w:t>
      </w:r>
      <w:r>
        <w:rPr>
          <w:rFonts w:hint="eastAsia" w:ascii="楷体" w:hAnsi="楷体" w:eastAsia="楷体" w:cs="楷体"/>
          <w:sz w:val="24"/>
          <w:lang w:eastAsia="zh-CN"/>
        </w:rPr>
        <w:t>1,714,950</w:t>
      </w:r>
      <w:r>
        <w:rPr>
          <w:rFonts w:hint="eastAsia" w:ascii="楷体" w:hAnsi="楷体" w:eastAsia="楷体" w:cs="楷体"/>
          <w:sz w:val="24"/>
          <w:highlight w:val="none"/>
        </w:rPr>
        <w:t>股，占公司股份总数的</w:t>
      </w:r>
      <w:r>
        <w:rPr>
          <w:rFonts w:hint="eastAsia" w:ascii="楷体" w:hAnsi="楷体" w:eastAsia="楷体" w:cs="楷体"/>
          <w:sz w:val="24"/>
          <w:lang w:eastAsia="zh-CN"/>
        </w:rPr>
        <w:t>0.6949%</w:t>
      </w:r>
      <w:r>
        <w:rPr>
          <w:rFonts w:hint="eastAsia" w:ascii="楷体" w:hAnsi="楷体" w:eastAsia="楷体" w:cs="楷体"/>
          <w:sz w:val="24"/>
          <w:highlight w:val="none"/>
        </w:rPr>
        <w:t>。</w:t>
      </w:r>
    </w:p>
    <w:p w14:paraId="7572DB58">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参与本次股东大会现场表决和网络表决的股东、委托代理人共计</w:t>
      </w:r>
      <w:r>
        <w:rPr>
          <w:rFonts w:hint="eastAsia" w:ascii="楷体" w:hAnsi="楷体" w:eastAsia="楷体" w:cs="楷体"/>
          <w:sz w:val="24"/>
          <w:lang w:val="en-US" w:eastAsia="zh-CN"/>
        </w:rPr>
        <w:t>178</w:t>
      </w:r>
      <w:r>
        <w:rPr>
          <w:rFonts w:hint="eastAsia" w:ascii="楷体" w:hAnsi="楷体" w:eastAsia="楷体" w:cs="楷体"/>
          <w:sz w:val="24"/>
        </w:rPr>
        <w:t>人，代表公司股份</w:t>
      </w:r>
      <w:r>
        <w:rPr>
          <w:rFonts w:hint="eastAsia" w:ascii="楷体" w:hAnsi="楷体" w:eastAsia="楷体" w:cs="楷体"/>
          <w:sz w:val="24"/>
          <w:highlight w:val="none"/>
          <w:lang w:eastAsia="zh-CN"/>
        </w:rPr>
        <w:t>136,421,450</w:t>
      </w:r>
      <w:r>
        <w:rPr>
          <w:rFonts w:hint="eastAsia" w:ascii="楷体" w:hAnsi="楷体" w:eastAsia="楷体" w:cs="楷体"/>
          <w:sz w:val="24"/>
        </w:rPr>
        <w:t>‬股，占公司股份总数的</w:t>
      </w:r>
      <w:r>
        <w:rPr>
          <w:rFonts w:hint="eastAsia" w:ascii="楷体" w:hAnsi="楷体" w:eastAsia="楷体" w:cs="楷体"/>
          <w:sz w:val="24"/>
          <w:highlight w:val="none"/>
          <w:lang w:eastAsia="zh-CN"/>
        </w:rPr>
        <w:t>55.2782%</w:t>
      </w:r>
      <w:r>
        <w:rPr>
          <w:rFonts w:hint="eastAsia" w:ascii="楷体" w:hAnsi="楷体" w:eastAsia="楷体" w:cs="楷体"/>
          <w:sz w:val="24"/>
        </w:rPr>
        <w:t>。</w:t>
      </w:r>
    </w:p>
    <w:p w14:paraId="5EB3DACB">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3.出席、列席本次股东大会的人员</w:t>
      </w:r>
    </w:p>
    <w:p w14:paraId="452B443C">
      <w:pPr>
        <w:spacing w:after="156" w:afterLines="50" w:line="360" w:lineRule="auto"/>
        <w:ind w:firstLine="480" w:firstLineChars="200"/>
        <w:rPr>
          <w:rFonts w:hint="eastAsia" w:ascii="楷体" w:hAnsi="楷体" w:eastAsia="楷体" w:cs="楷体"/>
          <w:sz w:val="24"/>
        </w:rPr>
      </w:pPr>
      <w:r>
        <w:rPr>
          <w:rFonts w:hint="eastAsia" w:ascii="楷体" w:hAnsi="楷体" w:eastAsia="楷体" w:cs="楷体"/>
          <w:sz w:val="24"/>
        </w:rPr>
        <w:t>除上述股东及委托代理人外，公司董事、监事和董事会秘书</w:t>
      </w:r>
      <w:r>
        <w:rPr>
          <w:rFonts w:hint="eastAsia" w:ascii="楷体" w:hAnsi="楷体" w:eastAsia="楷体" w:cs="楷体"/>
          <w:sz w:val="24"/>
          <w:lang w:val="en-US" w:eastAsia="zh-CN"/>
        </w:rPr>
        <w:t>通过现场或通讯方式</w:t>
      </w:r>
      <w:r>
        <w:rPr>
          <w:rFonts w:hint="eastAsia" w:ascii="楷体" w:hAnsi="楷体" w:eastAsia="楷体" w:cs="楷体"/>
          <w:sz w:val="24"/>
        </w:rPr>
        <w:t>出席了本次股东大会，公司其他高级管理人员、本所指派的律师</w:t>
      </w:r>
      <w:r>
        <w:rPr>
          <w:rFonts w:hint="eastAsia" w:ascii="楷体" w:hAnsi="楷体" w:eastAsia="楷体" w:cs="楷体"/>
          <w:sz w:val="24"/>
          <w:lang w:val="en-US" w:eastAsia="zh-CN"/>
        </w:rPr>
        <w:t>现场</w:t>
      </w:r>
      <w:r>
        <w:rPr>
          <w:rFonts w:hint="eastAsia" w:ascii="楷体" w:hAnsi="楷体" w:eastAsia="楷体" w:cs="楷体"/>
          <w:sz w:val="24"/>
        </w:rPr>
        <w:t>列席了本次股东大会。</w:t>
      </w:r>
    </w:p>
    <w:p w14:paraId="7A52A082">
      <w:pPr>
        <w:spacing w:after="156" w:afterLines="50" w:line="360" w:lineRule="auto"/>
        <w:ind w:firstLine="480" w:firstLineChars="200"/>
        <w:rPr>
          <w:rFonts w:ascii="楷体" w:hAnsi="楷体" w:eastAsia="楷体" w:cs="楷体"/>
          <w:color w:val="FF0000"/>
          <w:sz w:val="24"/>
        </w:rPr>
      </w:pPr>
      <w:r>
        <w:rPr>
          <w:rFonts w:hint="eastAsia" w:ascii="楷体" w:hAnsi="楷体" w:eastAsia="楷体" w:cs="楷体"/>
          <w:sz w:val="24"/>
        </w:rPr>
        <w:t>本所律师经核查后认为，本次股东大会召集人及出席本次股东大会人员的资格符合相关法律、行政法规、《规则》及现行《公司章程》的规定，合法、有效。</w:t>
      </w:r>
    </w:p>
    <w:p w14:paraId="3A1F40EF">
      <w:pPr>
        <w:spacing w:before="156" w:beforeLines="50" w:after="156" w:afterLines="50" w:line="360" w:lineRule="auto"/>
        <w:ind w:firstLine="482" w:firstLineChars="200"/>
        <w:outlineLvl w:val="0"/>
        <w:rPr>
          <w:rFonts w:ascii="楷体" w:hAnsi="楷体" w:eastAsia="楷体" w:cs="楷体"/>
          <w:b/>
          <w:bCs/>
          <w:sz w:val="24"/>
        </w:rPr>
      </w:pPr>
      <w:r>
        <w:rPr>
          <w:rFonts w:hint="eastAsia" w:ascii="楷体" w:hAnsi="楷体" w:eastAsia="楷体" w:cs="楷体"/>
          <w:b/>
          <w:bCs/>
          <w:sz w:val="24"/>
        </w:rPr>
        <w:t>三、关于本次股东大会的表决程序和表决结果</w:t>
      </w:r>
    </w:p>
    <w:p w14:paraId="1FDA40A1">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（一）表决程序</w:t>
      </w:r>
    </w:p>
    <w:p w14:paraId="257B2568">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本次会议审议及表决的事项与公司《股东大会通知》中列明的议案一致，本次股东大会没有收到临时议案或新的提案。公司本次股东大会采取现场投票和网络投票相结合的表决方式就《股东大会通知》中列明的提交本次股东大会审议的事项进行了投票表决，并按照《公司章程》的规定，由股东代表、监事代表及本所律师进行计票、监票，并按规定的程序将现场投票和网络投票的表决进行合计统计。本次股东大会审议的议案</w:t>
      </w:r>
      <w:r>
        <w:rPr>
          <w:rFonts w:hint="eastAsia" w:ascii="楷体" w:hAnsi="楷体" w:eastAsia="楷体" w:cs="楷体"/>
          <w:sz w:val="24"/>
          <w:lang w:val="en-US" w:eastAsia="zh-CN"/>
        </w:rPr>
        <w:t>均</w:t>
      </w:r>
      <w:r>
        <w:rPr>
          <w:rFonts w:hint="eastAsia" w:ascii="楷体" w:hAnsi="楷体" w:eastAsia="楷体" w:cs="楷体"/>
          <w:sz w:val="24"/>
        </w:rPr>
        <w:t>属于涉及影响中小投资者利益的事项，公司对现场及参加网络投票的中小投资者单独计票。</w:t>
      </w:r>
    </w:p>
    <w:p w14:paraId="6B94AB1E">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（二）表决结果</w:t>
      </w:r>
    </w:p>
    <w:p w14:paraId="3F96F044">
      <w:pPr>
        <w:numPr>
          <w:ilvl w:val="255"/>
          <w:numId w:val="0"/>
        </w:num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本次会议依照《公司章程》所规定的表决程序，表决了以下议案：</w:t>
      </w:r>
    </w:p>
    <w:p w14:paraId="72BF5069">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lang w:val="en-US" w:eastAsia="zh-CN"/>
        </w:rPr>
        <w:t>1.</w:t>
      </w:r>
      <w:r>
        <w:rPr>
          <w:rFonts w:hint="eastAsia" w:ascii="楷体" w:hAnsi="楷体" w:eastAsia="楷体" w:cs="楷体"/>
          <w:sz w:val="24"/>
        </w:rPr>
        <w:t>表决通过《关于变更公司经营范围暨修订&lt;公司章程&gt;的议案》</w:t>
      </w:r>
    </w:p>
    <w:p w14:paraId="2E0C6F16">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总表决情况：同意135,833,050股，占出席本次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有效表决权股份总数的99.5687</w:t>
      </w:r>
      <w:r>
        <w:rPr>
          <w:rFonts w:hint="eastAsia" w:ascii="楷体" w:hAnsi="楷体" w:eastAsia="楷体" w:cs="楷体"/>
          <w:sz w:val="24"/>
          <w:lang w:eastAsia="zh-CN"/>
        </w:rPr>
        <w:t>%</w:t>
      </w:r>
      <w:r>
        <w:rPr>
          <w:rFonts w:hint="eastAsia" w:ascii="楷体" w:hAnsi="楷体" w:eastAsia="楷体" w:cs="楷体"/>
          <w:sz w:val="24"/>
        </w:rPr>
        <w:t>；反对564,700股，占出席本次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有效表决权股份总数的0.4139</w:t>
      </w:r>
      <w:r>
        <w:rPr>
          <w:rFonts w:hint="eastAsia" w:ascii="楷体" w:hAnsi="楷体" w:eastAsia="楷体" w:cs="楷体"/>
          <w:sz w:val="24"/>
          <w:lang w:eastAsia="zh-CN"/>
        </w:rPr>
        <w:t>%</w:t>
      </w:r>
      <w:r>
        <w:rPr>
          <w:rFonts w:hint="eastAsia" w:ascii="楷体" w:hAnsi="楷体" w:eastAsia="楷体" w:cs="楷体"/>
          <w:sz w:val="24"/>
        </w:rPr>
        <w:t>；弃权23,700股（其中，因未投票默认弃权0股），占出席本次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有效表决权股份总数的0.0174</w:t>
      </w:r>
      <w:r>
        <w:rPr>
          <w:rFonts w:hint="eastAsia" w:ascii="楷体" w:hAnsi="楷体" w:eastAsia="楷体" w:cs="楷体"/>
          <w:sz w:val="24"/>
          <w:lang w:eastAsia="zh-CN"/>
        </w:rPr>
        <w:t>%</w:t>
      </w:r>
      <w:r>
        <w:rPr>
          <w:rFonts w:hint="eastAsia" w:ascii="楷体" w:hAnsi="楷体" w:eastAsia="楷体" w:cs="楷体"/>
          <w:sz w:val="24"/>
        </w:rPr>
        <w:t>。</w:t>
      </w:r>
    </w:p>
    <w:p w14:paraId="1348EB38">
      <w:pPr>
        <w:spacing w:after="156" w:afterLines="50" w:line="360" w:lineRule="auto"/>
        <w:ind w:firstLine="480" w:firstLineChars="200"/>
        <w:rPr>
          <w:rFonts w:hint="eastAsia" w:ascii="楷体" w:hAnsi="楷体" w:eastAsia="楷体" w:cs="楷体"/>
          <w:sz w:val="24"/>
        </w:rPr>
      </w:pPr>
      <w:r>
        <w:rPr>
          <w:rFonts w:hint="eastAsia" w:ascii="楷体" w:hAnsi="楷体" w:eastAsia="楷体" w:cs="楷体"/>
          <w:sz w:val="24"/>
        </w:rPr>
        <w:t>中小股东总表决情况：同意1,126,550股，占出席本次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中小股东有效表决权股份总数的65.6900</w:t>
      </w:r>
      <w:r>
        <w:rPr>
          <w:rFonts w:hint="eastAsia" w:ascii="楷体" w:hAnsi="楷体" w:eastAsia="楷体" w:cs="楷体"/>
          <w:sz w:val="24"/>
          <w:lang w:eastAsia="zh-CN"/>
        </w:rPr>
        <w:t>%</w:t>
      </w:r>
      <w:r>
        <w:rPr>
          <w:rFonts w:hint="eastAsia" w:ascii="楷体" w:hAnsi="楷体" w:eastAsia="楷体" w:cs="楷体"/>
          <w:sz w:val="24"/>
        </w:rPr>
        <w:t>；反对564,700股，占出席本次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中小股东有效表决权股份总数的32.9281</w:t>
      </w:r>
      <w:r>
        <w:rPr>
          <w:rFonts w:hint="eastAsia" w:ascii="楷体" w:hAnsi="楷体" w:eastAsia="楷体" w:cs="楷体"/>
          <w:sz w:val="24"/>
          <w:lang w:eastAsia="zh-CN"/>
        </w:rPr>
        <w:t>%</w:t>
      </w:r>
      <w:r>
        <w:rPr>
          <w:rFonts w:hint="eastAsia" w:ascii="楷体" w:hAnsi="楷体" w:eastAsia="楷体" w:cs="楷体"/>
          <w:sz w:val="24"/>
        </w:rPr>
        <w:t>；弃权23,700股（其中，因未投票默认弃权0股），占出席本次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中小股东有效表决权股份总数的1.3820</w:t>
      </w:r>
      <w:r>
        <w:rPr>
          <w:rFonts w:hint="eastAsia" w:ascii="楷体" w:hAnsi="楷体" w:eastAsia="楷体" w:cs="楷体"/>
          <w:sz w:val="24"/>
          <w:lang w:eastAsia="zh-CN"/>
        </w:rPr>
        <w:t>%</w:t>
      </w:r>
      <w:r>
        <w:rPr>
          <w:rFonts w:hint="eastAsia" w:ascii="楷体" w:hAnsi="楷体" w:eastAsia="楷体" w:cs="楷体"/>
          <w:sz w:val="24"/>
        </w:rPr>
        <w:t>。</w:t>
      </w:r>
    </w:p>
    <w:p w14:paraId="5CE61D5A">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lang w:val="en-US" w:eastAsia="zh-CN"/>
        </w:rPr>
        <w:t>2.</w:t>
      </w:r>
      <w:r>
        <w:rPr>
          <w:rFonts w:hint="eastAsia" w:ascii="楷体" w:hAnsi="楷体" w:eastAsia="楷体" w:cs="楷体"/>
          <w:sz w:val="24"/>
        </w:rPr>
        <w:t>表决通过《关于修订公司部分治理制度的议案》</w:t>
      </w:r>
    </w:p>
    <w:p w14:paraId="141C0789">
      <w:pPr>
        <w:spacing w:after="156" w:afterLines="50" w:line="360" w:lineRule="auto"/>
        <w:ind w:firstLine="480" w:firstLineChars="200"/>
        <w:rPr>
          <w:rFonts w:hint="eastAsia" w:ascii="楷体" w:hAnsi="楷体" w:eastAsia="楷体" w:cs="楷体"/>
          <w:sz w:val="24"/>
          <w:lang w:eastAsia="zh-CN"/>
        </w:rPr>
      </w:pPr>
      <w:r>
        <w:rPr>
          <w:rFonts w:hint="eastAsia" w:ascii="楷体" w:hAnsi="楷体" w:eastAsia="楷体" w:cs="楷体"/>
          <w:sz w:val="24"/>
          <w:lang w:eastAsia="zh-CN"/>
        </w:rPr>
        <w:t>（</w:t>
      </w:r>
      <w:r>
        <w:rPr>
          <w:rFonts w:hint="eastAsia" w:ascii="楷体" w:hAnsi="楷体" w:eastAsia="楷体" w:cs="楷体"/>
          <w:sz w:val="24"/>
          <w:lang w:val="en-US" w:eastAsia="zh-CN"/>
        </w:rPr>
        <w:t>1</w:t>
      </w:r>
      <w:r>
        <w:rPr>
          <w:rFonts w:hint="eastAsia" w:ascii="楷体" w:hAnsi="楷体" w:eastAsia="楷体" w:cs="楷体"/>
          <w:sz w:val="24"/>
          <w:lang w:eastAsia="zh-CN"/>
        </w:rPr>
        <w:t>）《关于修订&lt;股东</w:t>
      </w:r>
      <w:r>
        <w:rPr>
          <w:rFonts w:hint="eastAsia" w:ascii="楷体" w:hAnsi="楷体" w:eastAsia="楷体" w:cs="楷体"/>
          <w:sz w:val="24"/>
          <w:lang w:val="en-US" w:eastAsia="zh-CN"/>
        </w:rPr>
        <w:t>会</w:t>
      </w:r>
      <w:r>
        <w:rPr>
          <w:rFonts w:hint="eastAsia" w:ascii="楷体" w:hAnsi="楷体" w:eastAsia="楷体" w:cs="楷体"/>
          <w:sz w:val="24"/>
          <w:lang w:eastAsia="zh-CN"/>
        </w:rPr>
        <w:t>议事规则&gt;的议案》</w:t>
      </w:r>
    </w:p>
    <w:p w14:paraId="7C8BDDD3">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总表决情况：同意135,801,950股，占出席本次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有效表决权股份总数的99.5459</w:t>
      </w:r>
      <w:r>
        <w:rPr>
          <w:rFonts w:hint="eastAsia" w:ascii="楷体" w:hAnsi="楷体" w:eastAsia="楷体" w:cs="楷体"/>
          <w:sz w:val="24"/>
          <w:lang w:eastAsia="zh-CN"/>
        </w:rPr>
        <w:t>%</w:t>
      </w:r>
      <w:r>
        <w:rPr>
          <w:rFonts w:hint="eastAsia" w:ascii="楷体" w:hAnsi="楷体" w:eastAsia="楷体" w:cs="楷体"/>
          <w:sz w:val="24"/>
        </w:rPr>
        <w:t>；反对572,000股，占出席本次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有效表决权股份总数的0.4193</w:t>
      </w:r>
      <w:r>
        <w:rPr>
          <w:rFonts w:hint="eastAsia" w:ascii="楷体" w:hAnsi="楷体" w:eastAsia="楷体" w:cs="楷体"/>
          <w:sz w:val="24"/>
          <w:lang w:eastAsia="zh-CN"/>
        </w:rPr>
        <w:t>%</w:t>
      </w:r>
      <w:r>
        <w:rPr>
          <w:rFonts w:hint="eastAsia" w:ascii="楷体" w:hAnsi="楷体" w:eastAsia="楷体" w:cs="楷体"/>
          <w:sz w:val="24"/>
        </w:rPr>
        <w:t>；弃权47,500股（其中，因未投票默认弃权12,400股），占出席本次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有效表决权股份总数的0.0348</w:t>
      </w:r>
      <w:r>
        <w:rPr>
          <w:rFonts w:hint="eastAsia" w:ascii="楷体" w:hAnsi="楷体" w:eastAsia="楷体" w:cs="楷体"/>
          <w:sz w:val="24"/>
          <w:lang w:eastAsia="zh-CN"/>
        </w:rPr>
        <w:t>%</w:t>
      </w:r>
      <w:r>
        <w:rPr>
          <w:rFonts w:hint="eastAsia" w:ascii="楷体" w:hAnsi="楷体" w:eastAsia="楷体" w:cs="楷体"/>
          <w:sz w:val="24"/>
        </w:rPr>
        <w:t>。</w:t>
      </w:r>
    </w:p>
    <w:p w14:paraId="77D6EE1B">
      <w:pPr>
        <w:spacing w:after="156" w:afterLines="50" w:line="360" w:lineRule="auto"/>
        <w:ind w:firstLine="480" w:firstLineChars="200"/>
        <w:rPr>
          <w:rFonts w:hint="eastAsia" w:ascii="楷体" w:hAnsi="楷体" w:eastAsia="楷体" w:cs="楷体"/>
          <w:sz w:val="24"/>
        </w:rPr>
      </w:pPr>
      <w:r>
        <w:rPr>
          <w:rFonts w:hint="eastAsia" w:ascii="楷体" w:hAnsi="楷体" w:eastAsia="楷体" w:cs="楷体"/>
          <w:sz w:val="24"/>
        </w:rPr>
        <w:t>中小股东总表决情况：同意1,095,450股，占出席本次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中小股东有效表决权股份总数的63.8765</w:t>
      </w:r>
      <w:r>
        <w:rPr>
          <w:rFonts w:hint="eastAsia" w:ascii="楷体" w:hAnsi="楷体" w:eastAsia="楷体" w:cs="楷体"/>
          <w:sz w:val="24"/>
          <w:lang w:eastAsia="zh-CN"/>
        </w:rPr>
        <w:t>%</w:t>
      </w:r>
      <w:r>
        <w:rPr>
          <w:rFonts w:hint="eastAsia" w:ascii="楷体" w:hAnsi="楷体" w:eastAsia="楷体" w:cs="楷体"/>
          <w:sz w:val="24"/>
        </w:rPr>
        <w:t>；反对572,000股，占出席本次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中小股东有效表决权股份总数的33.3537</w:t>
      </w:r>
      <w:r>
        <w:rPr>
          <w:rFonts w:hint="eastAsia" w:ascii="楷体" w:hAnsi="楷体" w:eastAsia="楷体" w:cs="楷体"/>
          <w:sz w:val="24"/>
          <w:lang w:eastAsia="zh-CN"/>
        </w:rPr>
        <w:t>%</w:t>
      </w:r>
      <w:r>
        <w:rPr>
          <w:rFonts w:hint="eastAsia" w:ascii="楷体" w:hAnsi="楷体" w:eastAsia="楷体" w:cs="楷体"/>
          <w:sz w:val="24"/>
        </w:rPr>
        <w:t>；弃权47,500股（其中，因未投票默认弃权12,400股），占出席本次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中小股东有效表决权股份总数的2.7698</w:t>
      </w:r>
      <w:r>
        <w:rPr>
          <w:rFonts w:hint="eastAsia" w:ascii="楷体" w:hAnsi="楷体" w:eastAsia="楷体" w:cs="楷体"/>
          <w:sz w:val="24"/>
          <w:lang w:eastAsia="zh-CN"/>
        </w:rPr>
        <w:t>%</w:t>
      </w:r>
      <w:r>
        <w:rPr>
          <w:rFonts w:hint="eastAsia" w:ascii="楷体" w:hAnsi="楷体" w:eastAsia="楷体" w:cs="楷体"/>
          <w:sz w:val="24"/>
        </w:rPr>
        <w:t>。</w:t>
      </w:r>
    </w:p>
    <w:p w14:paraId="63F34F19">
      <w:pPr>
        <w:numPr>
          <w:ilvl w:val="0"/>
          <w:numId w:val="1"/>
        </w:numPr>
        <w:spacing w:after="156" w:afterLines="50" w:line="360" w:lineRule="auto"/>
        <w:ind w:firstLine="480" w:firstLineChars="200"/>
        <w:rPr>
          <w:rFonts w:hint="eastAsia" w:ascii="楷体" w:hAnsi="楷体" w:eastAsia="楷体" w:cs="楷体"/>
          <w:sz w:val="24"/>
          <w:lang w:eastAsia="zh-CN"/>
        </w:rPr>
      </w:pPr>
      <w:r>
        <w:rPr>
          <w:rFonts w:hint="eastAsia" w:ascii="楷体" w:hAnsi="楷体" w:eastAsia="楷体" w:cs="楷体"/>
          <w:sz w:val="24"/>
          <w:lang w:eastAsia="zh-CN"/>
        </w:rPr>
        <w:t>《关于修订&lt;董事会议事规则&gt;的议案》</w:t>
      </w:r>
    </w:p>
    <w:p w14:paraId="027372AE">
      <w:pPr>
        <w:spacing w:after="156" w:afterLines="50" w:line="360" w:lineRule="auto"/>
        <w:ind w:firstLine="480" w:firstLineChars="200"/>
        <w:rPr>
          <w:rFonts w:hint="eastAsia" w:ascii="楷体" w:hAnsi="楷体" w:eastAsia="楷体" w:cs="楷体"/>
          <w:sz w:val="24"/>
        </w:rPr>
      </w:pPr>
      <w:r>
        <w:rPr>
          <w:rFonts w:hint="eastAsia" w:ascii="楷体" w:hAnsi="楷体" w:eastAsia="楷体" w:cs="楷体"/>
          <w:sz w:val="24"/>
        </w:rPr>
        <w:t>总表决情况：同意135,802,650股，占出席本次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有效表决权股份总数的99.5464</w:t>
      </w:r>
      <w:r>
        <w:rPr>
          <w:rFonts w:hint="eastAsia" w:ascii="楷体" w:hAnsi="楷体" w:eastAsia="楷体" w:cs="楷体"/>
          <w:sz w:val="24"/>
          <w:lang w:eastAsia="zh-CN"/>
        </w:rPr>
        <w:t>%</w:t>
      </w:r>
      <w:r>
        <w:rPr>
          <w:rFonts w:hint="eastAsia" w:ascii="楷体" w:hAnsi="楷体" w:eastAsia="楷体" w:cs="楷体"/>
          <w:sz w:val="24"/>
        </w:rPr>
        <w:t>；反对569,300股，占出席本次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有效表决权股份总数的0.4173</w:t>
      </w:r>
      <w:r>
        <w:rPr>
          <w:rFonts w:hint="eastAsia" w:ascii="楷体" w:hAnsi="楷体" w:eastAsia="楷体" w:cs="楷体"/>
          <w:sz w:val="24"/>
          <w:lang w:eastAsia="zh-CN"/>
        </w:rPr>
        <w:t>%</w:t>
      </w:r>
      <w:r>
        <w:rPr>
          <w:rFonts w:hint="eastAsia" w:ascii="楷体" w:hAnsi="楷体" w:eastAsia="楷体" w:cs="楷体"/>
          <w:sz w:val="24"/>
        </w:rPr>
        <w:t>；弃权49,500股（其中，因未投票默认弃权12,400股），占出席本次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有效表决权股份总数的0.0363</w:t>
      </w:r>
      <w:r>
        <w:rPr>
          <w:rFonts w:hint="eastAsia" w:ascii="楷体" w:hAnsi="楷体" w:eastAsia="楷体" w:cs="楷体"/>
          <w:sz w:val="24"/>
          <w:lang w:eastAsia="zh-CN"/>
        </w:rPr>
        <w:t>%</w:t>
      </w:r>
      <w:r>
        <w:rPr>
          <w:rFonts w:hint="eastAsia" w:ascii="楷体" w:hAnsi="楷体" w:eastAsia="楷体" w:cs="楷体"/>
          <w:sz w:val="24"/>
        </w:rPr>
        <w:t>。</w:t>
      </w:r>
    </w:p>
    <w:p w14:paraId="53541690">
      <w:pPr>
        <w:spacing w:after="156" w:afterLines="50" w:line="360" w:lineRule="auto"/>
        <w:ind w:firstLine="480" w:firstLineChars="200"/>
        <w:rPr>
          <w:rFonts w:hint="eastAsia" w:ascii="楷体" w:hAnsi="楷体" w:eastAsia="楷体" w:cs="楷体"/>
          <w:sz w:val="24"/>
          <w:lang w:eastAsia="zh-CN"/>
        </w:rPr>
      </w:pPr>
      <w:r>
        <w:rPr>
          <w:rFonts w:hint="eastAsia" w:ascii="楷体" w:hAnsi="楷体" w:eastAsia="楷体" w:cs="楷体"/>
          <w:sz w:val="24"/>
        </w:rPr>
        <w:t>中小股东总表决情况：同意1,096,150股，占出席本次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中小股东有效表决权股份总数的63.9173</w:t>
      </w:r>
      <w:r>
        <w:rPr>
          <w:rFonts w:hint="eastAsia" w:ascii="楷体" w:hAnsi="楷体" w:eastAsia="楷体" w:cs="楷体"/>
          <w:sz w:val="24"/>
          <w:lang w:eastAsia="zh-CN"/>
        </w:rPr>
        <w:t>%</w:t>
      </w:r>
      <w:r>
        <w:rPr>
          <w:rFonts w:hint="eastAsia" w:ascii="楷体" w:hAnsi="楷体" w:eastAsia="楷体" w:cs="楷体"/>
          <w:sz w:val="24"/>
        </w:rPr>
        <w:t>；反对569,300股，占出席本次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中小股东有效表决权股份总数的33.1963</w:t>
      </w:r>
      <w:r>
        <w:rPr>
          <w:rFonts w:hint="eastAsia" w:ascii="楷体" w:hAnsi="楷体" w:eastAsia="楷体" w:cs="楷体"/>
          <w:sz w:val="24"/>
          <w:lang w:eastAsia="zh-CN"/>
        </w:rPr>
        <w:t>%</w:t>
      </w:r>
      <w:r>
        <w:rPr>
          <w:rFonts w:hint="eastAsia" w:ascii="楷体" w:hAnsi="楷体" w:eastAsia="楷体" w:cs="楷体"/>
          <w:sz w:val="24"/>
        </w:rPr>
        <w:t>；弃权49,500股（其中，因未投票默认弃权12,400股），占出席本次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中小股东有效表决权股份总数的2.8864</w:t>
      </w:r>
      <w:r>
        <w:rPr>
          <w:rFonts w:hint="eastAsia" w:ascii="楷体" w:hAnsi="楷体" w:eastAsia="楷体" w:cs="楷体"/>
          <w:sz w:val="24"/>
          <w:lang w:eastAsia="zh-CN"/>
        </w:rPr>
        <w:t>%</w:t>
      </w:r>
      <w:r>
        <w:rPr>
          <w:rFonts w:hint="eastAsia" w:ascii="楷体" w:hAnsi="楷体" w:eastAsia="楷体" w:cs="楷体"/>
          <w:sz w:val="24"/>
        </w:rPr>
        <w:t>。</w:t>
      </w:r>
    </w:p>
    <w:p w14:paraId="53488720">
      <w:pPr>
        <w:numPr>
          <w:ilvl w:val="0"/>
          <w:numId w:val="2"/>
        </w:numPr>
        <w:spacing w:after="156" w:afterLines="50"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lang w:val="en-US" w:eastAsia="zh-CN"/>
        </w:rPr>
        <w:t>表决通过《关于部分募投项目结项并将节余募集资金永久补充流动资金的议案》</w:t>
      </w:r>
    </w:p>
    <w:p w14:paraId="4D977D85">
      <w:pPr>
        <w:spacing w:after="156" w:afterLines="50" w:line="360" w:lineRule="auto"/>
        <w:ind w:firstLine="480" w:firstLineChars="200"/>
        <w:rPr>
          <w:rFonts w:hint="eastAsia" w:ascii="楷体" w:hAnsi="楷体" w:eastAsia="楷体" w:cs="楷体"/>
          <w:sz w:val="24"/>
        </w:rPr>
      </w:pPr>
      <w:r>
        <w:rPr>
          <w:rFonts w:hint="eastAsia" w:ascii="楷体" w:hAnsi="楷体" w:eastAsia="楷体" w:cs="楷体"/>
          <w:sz w:val="24"/>
        </w:rPr>
        <w:t>总表决情况：同意135,808,550股，占出席本次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有效表决权股份总数的99.5507</w:t>
      </w:r>
      <w:r>
        <w:rPr>
          <w:rFonts w:hint="eastAsia" w:ascii="楷体" w:hAnsi="楷体" w:eastAsia="楷体" w:cs="楷体"/>
          <w:sz w:val="24"/>
          <w:lang w:eastAsia="zh-CN"/>
        </w:rPr>
        <w:t>%</w:t>
      </w:r>
      <w:r>
        <w:rPr>
          <w:rFonts w:hint="eastAsia" w:ascii="楷体" w:hAnsi="楷体" w:eastAsia="楷体" w:cs="楷体"/>
          <w:sz w:val="24"/>
        </w:rPr>
        <w:t>；反对579,100股，占出席本次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有效表决权股份总数的0.4245</w:t>
      </w:r>
      <w:r>
        <w:rPr>
          <w:rFonts w:hint="eastAsia" w:ascii="楷体" w:hAnsi="楷体" w:eastAsia="楷体" w:cs="楷体"/>
          <w:sz w:val="24"/>
          <w:lang w:eastAsia="zh-CN"/>
        </w:rPr>
        <w:t>%</w:t>
      </w:r>
      <w:r>
        <w:rPr>
          <w:rFonts w:hint="eastAsia" w:ascii="楷体" w:hAnsi="楷体" w:eastAsia="楷体" w:cs="楷体"/>
          <w:sz w:val="24"/>
        </w:rPr>
        <w:t>；弃权33,800股（其中，因未投票默认弃权1,000股），占出席本次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有效表决权股份总数的0.0248</w:t>
      </w:r>
      <w:r>
        <w:rPr>
          <w:rFonts w:hint="eastAsia" w:ascii="楷体" w:hAnsi="楷体" w:eastAsia="楷体" w:cs="楷体"/>
          <w:sz w:val="24"/>
          <w:lang w:eastAsia="zh-CN"/>
        </w:rPr>
        <w:t>%</w:t>
      </w:r>
      <w:r>
        <w:rPr>
          <w:rFonts w:hint="eastAsia" w:ascii="楷体" w:hAnsi="楷体" w:eastAsia="楷体" w:cs="楷体"/>
          <w:sz w:val="24"/>
        </w:rPr>
        <w:t>。</w:t>
      </w:r>
    </w:p>
    <w:p w14:paraId="3D8AE049">
      <w:pPr>
        <w:spacing w:after="156" w:afterLines="50"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rPr>
        <w:t>中小股东总表决情况：同意1,102,050股，占出席本次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中小股东有效表决权股份总数的64.2613</w:t>
      </w:r>
      <w:r>
        <w:rPr>
          <w:rFonts w:hint="eastAsia" w:ascii="楷体" w:hAnsi="楷体" w:eastAsia="楷体" w:cs="楷体"/>
          <w:sz w:val="24"/>
          <w:lang w:eastAsia="zh-CN"/>
        </w:rPr>
        <w:t>%</w:t>
      </w:r>
      <w:r>
        <w:rPr>
          <w:rFonts w:hint="eastAsia" w:ascii="楷体" w:hAnsi="楷体" w:eastAsia="楷体" w:cs="楷体"/>
          <w:sz w:val="24"/>
        </w:rPr>
        <w:t>；反对579,100股，占出席本次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中小股东有效表决权股份总数的33.7677</w:t>
      </w:r>
      <w:r>
        <w:rPr>
          <w:rFonts w:hint="eastAsia" w:ascii="楷体" w:hAnsi="楷体" w:eastAsia="楷体" w:cs="楷体"/>
          <w:sz w:val="24"/>
          <w:lang w:eastAsia="zh-CN"/>
        </w:rPr>
        <w:t>%</w:t>
      </w:r>
      <w:r>
        <w:rPr>
          <w:rFonts w:hint="eastAsia" w:ascii="楷体" w:hAnsi="楷体" w:eastAsia="楷体" w:cs="楷体"/>
          <w:sz w:val="24"/>
        </w:rPr>
        <w:t>；弃权33,800股（其中，因未投票默认弃权1,000股），占出席本次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中小股东有效表决权股份总数的1.9709</w:t>
      </w:r>
      <w:r>
        <w:rPr>
          <w:rFonts w:hint="eastAsia" w:ascii="楷体" w:hAnsi="楷体" w:eastAsia="楷体" w:cs="楷体"/>
          <w:sz w:val="24"/>
          <w:lang w:eastAsia="zh-CN"/>
        </w:rPr>
        <w:t>%</w:t>
      </w:r>
      <w:r>
        <w:rPr>
          <w:rFonts w:hint="eastAsia" w:ascii="楷体" w:hAnsi="楷体" w:eastAsia="楷体" w:cs="楷体"/>
          <w:sz w:val="24"/>
        </w:rPr>
        <w:t>。</w:t>
      </w:r>
    </w:p>
    <w:p w14:paraId="7FB7B156">
      <w:pPr>
        <w:numPr>
          <w:ilvl w:val="0"/>
          <w:numId w:val="2"/>
        </w:numPr>
        <w:spacing w:after="156" w:afterLines="50" w:line="360" w:lineRule="auto"/>
        <w:ind w:firstLine="480" w:firstLineChars="200"/>
        <w:rPr>
          <w:rFonts w:hint="default" w:ascii="楷体" w:hAnsi="楷体" w:eastAsia="楷体" w:cs="楷体"/>
          <w:sz w:val="24"/>
          <w:lang w:val="en-US" w:eastAsia="zh-CN"/>
        </w:rPr>
      </w:pPr>
      <w:r>
        <w:rPr>
          <w:rFonts w:hint="eastAsia" w:ascii="楷体" w:hAnsi="楷体" w:eastAsia="楷体" w:cs="楷体"/>
          <w:sz w:val="24"/>
          <w:lang w:val="en-US" w:eastAsia="zh-CN"/>
        </w:rPr>
        <w:t>表决通过《关于续聘2025年度会计师事务所的议案》</w:t>
      </w:r>
    </w:p>
    <w:p w14:paraId="248F0D73">
      <w:pPr>
        <w:spacing w:after="156" w:afterLines="50" w:line="360" w:lineRule="auto"/>
        <w:ind w:firstLine="480" w:firstLineChars="200"/>
        <w:rPr>
          <w:rFonts w:hint="eastAsia" w:ascii="楷体" w:hAnsi="楷体" w:eastAsia="楷体" w:cs="楷体"/>
          <w:sz w:val="24"/>
        </w:rPr>
      </w:pPr>
      <w:r>
        <w:rPr>
          <w:rFonts w:hint="eastAsia" w:ascii="楷体" w:hAnsi="楷体" w:eastAsia="楷体" w:cs="楷体"/>
          <w:sz w:val="24"/>
        </w:rPr>
        <w:t>总表决情况：同意135,809,650股，占出席本次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有效表决权股份总数的99.5515</w:t>
      </w:r>
      <w:r>
        <w:rPr>
          <w:rFonts w:hint="eastAsia" w:ascii="楷体" w:hAnsi="楷体" w:eastAsia="楷体" w:cs="楷体"/>
          <w:sz w:val="24"/>
          <w:lang w:eastAsia="zh-CN"/>
        </w:rPr>
        <w:t>%</w:t>
      </w:r>
      <w:r>
        <w:rPr>
          <w:rFonts w:hint="eastAsia" w:ascii="楷体" w:hAnsi="楷体" w:eastAsia="楷体" w:cs="楷体"/>
          <w:sz w:val="24"/>
        </w:rPr>
        <w:t>；反对499,200股，占出席本次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有效表决权股份总数的0.3659</w:t>
      </w:r>
      <w:r>
        <w:rPr>
          <w:rFonts w:hint="eastAsia" w:ascii="楷体" w:hAnsi="楷体" w:eastAsia="楷体" w:cs="楷体"/>
          <w:sz w:val="24"/>
          <w:lang w:eastAsia="zh-CN"/>
        </w:rPr>
        <w:t>%</w:t>
      </w:r>
      <w:r>
        <w:rPr>
          <w:rFonts w:hint="eastAsia" w:ascii="楷体" w:hAnsi="楷体" w:eastAsia="楷体" w:cs="楷体"/>
          <w:sz w:val="24"/>
        </w:rPr>
        <w:t>；弃权112,600股（其中，因未投票默认弃权1,000股），占出席本次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有效表决权股份总数的0.0825</w:t>
      </w:r>
      <w:r>
        <w:rPr>
          <w:rFonts w:hint="eastAsia" w:ascii="楷体" w:hAnsi="楷体" w:eastAsia="楷体" w:cs="楷体"/>
          <w:sz w:val="24"/>
          <w:lang w:eastAsia="zh-CN"/>
        </w:rPr>
        <w:t>%</w:t>
      </w:r>
      <w:r>
        <w:rPr>
          <w:rFonts w:hint="eastAsia" w:ascii="楷体" w:hAnsi="楷体" w:eastAsia="楷体" w:cs="楷体"/>
          <w:sz w:val="24"/>
        </w:rPr>
        <w:t>。</w:t>
      </w:r>
    </w:p>
    <w:p w14:paraId="626C35A6">
      <w:pPr>
        <w:spacing w:after="156" w:afterLines="50" w:line="360" w:lineRule="auto"/>
        <w:ind w:firstLine="480" w:firstLineChars="200"/>
        <w:rPr>
          <w:rFonts w:hint="eastAsia" w:ascii="楷体" w:hAnsi="楷体" w:eastAsia="楷体" w:cs="楷体"/>
          <w:sz w:val="24"/>
        </w:rPr>
      </w:pPr>
      <w:r>
        <w:rPr>
          <w:rFonts w:hint="eastAsia" w:ascii="楷体" w:hAnsi="楷体" w:eastAsia="楷体" w:cs="楷体"/>
          <w:sz w:val="24"/>
        </w:rPr>
        <w:t>中小股东总表决情况：同意1,103,150股，占出席本次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中小股东有效表决权股份总数的64.3255</w:t>
      </w:r>
      <w:r>
        <w:rPr>
          <w:rFonts w:hint="eastAsia" w:ascii="楷体" w:hAnsi="楷体" w:eastAsia="楷体" w:cs="楷体"/>
          <w:sz w:val="24"/>
          <w:lang w:eastAsia="zh-CN"/>
        </w:rPr>
        <w:t>%</w:t>
      </w:r>
      <w:r>
        <w:rPr>
          <w:rFonts w:hint="eastAsia" w:ascii="楷体" w:hAnsi="楷体" w:eastAsia="楷体" w:cs="楷体"/>
          <w:sz w:val="24"/>
        </w:rPr>
        <w:t>；反对499,200股，占出席本次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中小股东有效表决权股份总数的29.1087</w:t>
      </w:r>
      <w:r>
        <w:rPr>
          <w:rFonts w:hint="eastAsia" w:ascii="楷体" w:hAnsi="楷体" w:eastAsia="楷体" w:cs="楷体"/>
          <w:sz w:val="24"/>
          <w:lang w:eastAsia="zh-CN"/>
        </w:rPr>
        <w:t>%</w:t>
      </w:r>
      <w:r>
        <w:rPr>
          <w:rFonts w:hint="eastAsia" w:ascii="楷体" w:hAnsi="楷体" w:eastAsia="楷体" w:cs="楷体"/>
          <w:sz w:val="24"/>
        </w:rPr>
        <w:t>；弃权112,600股（其中，因未投票默认弃权1,000股），占出席本次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中小股东有效表决权股份总数的6.5658</w:t>
      </w:r>
      <w:r>
        <w:rPr>
          <w:rFonts w:hint="eastAsia" w:ascii="楷体" w:hAnsi="楷体" w:eastAsia="楷体" w:cs="楷体"/>
          <w:sz w:val="24"/>
          <w:lang w:eastAsia="zh-CN"/>
        </w:rPr>
        <w:t>%</w:t>
      </w:r>
      <w:r>
        <w:rPr>
          <w:rFonts w:hint="eastAsia" w:ascii="楷体" w:hAnsi="楷体" w:eastAsia="楷体" w:cs="楷体"/>
          <w:sz w:val="24"/>
        </w:rPr>
        <w:t>。</w:t>
      </w:r>
    </w:p>
    <w:p w14:paraId="3C297CA0">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lang w:val="en-US" w:eastAsia="zh-CN"/>
        </w:rPr>
        <w:t>5.</w:t>
      </w:r>
      <w:r>
        <w:rPr>
          <w:rFonts w:hint="eastAsia" w:ascii="楷体" w:hAnsi="楷体" w:eastAsia="楷体" w:cs="楷体"/>
          <w:sz w:val="24"/>
        </w:rPr>
        <w:t>表决通过《关于修订及制定公司部分治理制度的议案》</w:t>
      </w:r>
    </w:p>
    <w:p w14:paraId="1C6A2B09">
      <w:pPr>
        <w:spacing w:after="156" w:afterLines="50" w:line="360" w:lineRule="auto"/>
        <w:ind w:firstLine="480" w:firstLineChars="200"/>
        <w:rPr>
          <w:rFonts w:hint="eastAsia" w:ascii="楷体" w:hAnsi="楷体" w:eastAsia="楷体" w:cs="楷体"/>
          <w:sz w:val="24"/>
          <w:lang w:eastAsia="zh-CN"/>
        </w:rPr>
      </w:pPr>
      <w:r>
        <w:rPr>
          <w:rFonts w:hint="eastAsia" w:ascii="楷体" w:hAnsi="楷体" w:eastAsia="楷体" w:cs="楷体"/>
          <w:sz w:val="24"/>
          <w:lang w:eastAsia="zh-CN"/>
        </w:rPr>
        <w:t>（</w:t>
      </w:r>
      <w:r>
        <w:rPr>
          <w:rFonts w:hint="eastAsia" w:ascii="楷体" w:hAnsi="楷体" w:eastAsia="楷体" w:cs="楷体"/>
          <w:sz w:val="24"/>
          <w:lang w:val="en-US" w:eastAsia="zh-CN"/>
        </w:rPr>
        <w:t>1</w:t>
      </w:r>
      <w:r>
        <w:rPr>
          <w:rFonts w:hint="eastAsia" w:ascii="楷体" w:hAnsi="楷体" w:eastAsia="楷体" w:cs="楷体"/>
          <w:sz w:val="24"/>
          <w:lang w:eastAsia="zh-CN"/>
        </w:rPr>
        <w:t>）《关于修订&lt;募集资金管理制度&gt;的议案》</w:t>
      </w:r>
    </w:p>
    <w:p w14:paraId="0CCD72D5">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总表决情况：同意135,804,950股，占出席本次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有效表决权股份总数的99.5481</w:t>
      </w:r>
      <w:r>
        <w:rPr>
          <w:rFonts w:hint="eastAsia" w:ascii="楷体" w:hAnsi="楷体" w:eastAsia="楷体" w:cs="楷体"/>
          <w:sz w:val="24"/>
          <w:lang w:eastAsia="zh-CN"/>
        </w:rPr>
        <w:t>%</w:t>
      </w:r>
      <w:r>
        <w:rPr>
          <w:rFonts w:hint="eastAsia" w:ascii="楷体" w:hAnsi="楷体" w:eastAsia="楷体" w:cs="楷体"/>
          <w:sz w:val="24"/>
        </w:rPr>
        <w:t>；反对570,900股，占出席本次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有效表决权股份总数的0.4185</w:t>
      </w:r>
      <w:r>
        <w:rPr>
          <w:rFonts w:hint="eastAsia" w:ascii="楷体" w:hAnsi="楷体" w:eastAsia="楷体" w:cs="楷体"/>
          <w:sz w:val="24"/>
          <w:lang w:eastAsia="zh-CN"/>
        </w:rPr>
        <w:t>%</w:t>
      </w:r>
      <w:r>
        <w:rPr>
          <w:rFonts w:hint="eastAsia" w:ascii="楷体" w:hAnsi="楷体" w:eastAsia="楷体" w:cs="楷体"/>
          <w:sz w:val="24"/>
        </w:rPr>
        <w:t>；弃权45,600股（其中，因未投票默认弃权1,000股），占出席本次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有效表决权股份总数的0.0334</w:t>
      </w:r>
      <w:r>
        <w:rPr>
          <w:rFonts w:hint="eastAsia" w:ascii="楷体" w:hAnsi="楷体" w:eastAsia="楷体" w:cs="楷体"/>
          <w:sz w:val="24"/>
          <w:lang w:eastAsia="zh-CN"/>
        </w:rPr>
        <w:t>%</w:t>
      </w:r>
      <w:r>
        <w:rPr>
          <w:rFonts w:hint="eastAsia" w:ascii="楷体" w:hAnsi="楷体" w:eastAsia="楷体" w:cs="楷体"/>
          <w:sz w:val="24"/>
        </w:rPr>
        <w:t>。</w:t>
      </w:r>
      <w:bookmarkStart w:id="0" w:name="_GoBack"/>
      <w:bookmarkEnd w:id="0"/>
    </w:p>
    <w:p w14:paraId="21F4411B">
      <w:pPr>
        <w:spacing w:after="156" w:afterLines="50" w:line="360" w:lineRule="auto"/>
        <w:ind w:firstLine="480" w:firstLineChars="200"/>
        <w:rPr>
          <w:rFonts w:hint="eastAsia" w:ascii="楷体" w:hAnsi="楷体" w:eastAsia="楷体" w:cs="楷体"/>
          <w:sz w:val="24"/>
        </w:rPr>
      </w:pPr>
      <w:r>
        <w:rPr>
          <w:rFonts w:hint="eastAsia" w:ascii="楷体" w:hAnsi="楷体" w:eastAsia="楷体" w:cs="楷体"/>
          <w:sz w:val="24"/>
        </w:rPr>
        <w:t>中小股东总表决情况：同意1,098,450股，占出席本次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中小股东有效表决权股份总数的64.0514</w:t>
      </w:r>
      <w:r>
        <w:rPr>
          <w:rFonts w:hint="eastAsia" w:ascii="楷体" w:hAnsi="楷体" w:eastAsia="楷体" w:cs="楷体"/>
          <w:sz w:val="24"/>
          <w:lang w:eastAsia="zh-CN"/>
        </w:rPr>
        <w:t>%</w:t>
      </w:r>
      <w:r>
        <w:rPr>
          <w:rFonts w:hint="eastAsia" w:ascii="楷体" w:hAnsi="楷体" w:eastAsia="楷体" w:cs="楷体"/>
          <w:sz w:val="24"/>
        </w:rPr>
        <w:t>；反对570,900股，占出席本次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中小股东有效表决权股份总数的33.2896</w:t>
      </w:r>
      <w:r>
        <w:rPr>
          <w:rFonts w:hint="eastAsia" w:ascii="楷体" w:hAnsi="楷体" w:eastAsia="楷体" w:cs="楷体"/>
          <w:sz w:val="24"/>
          <w:lang w:eastAsia="zh-CN"/>
        </w:rPr>
        <w:t>%</w:t>
      </w:r>
      <w:r>
        <w:rPr>
          <w:rFonts w:hint="eastAsia" w:ascii="楷体" w:hAnsi="楷体" w:eastAsia="楷体" w:cs="楷体"/>
          <w:sz w:val="24"/>
        </w:rPr>
        <w:t>；弃权45,600股（其中，因未投票默认弃权1,000股），占出席本次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中小股东有效表决权股份总数的2.6590</w:t>
      </w:r>
      <w:r>
        <w:rPr>
          <w:rFonts w:hint="eastAsia" w:ascii="楷体" w:hAnsi="楷体" w:eastAsia="楷体" w:cs="楷体"/>
          <w:sz w:val="24"/>
          <w:lang w:eastAsia="zh-CN"/>
        </w:rPr>
        <w:t>%</w:t>
      </w:r>
      <w:r>
        <w:rPr>
          <w:rFonts w:hint="eastAsia" w:ascii="楷体" w:hAnsi="楷体" w:eastAsia="楷体" w:cs="楷体"/>
          <w:sz w:val="24"/>
        </w:rPr>
        <w:t>。</w:t>
      </w:r>
    </w:p>
    <w:p w14:paraId="3F0017C8">
      <w:pPr>
        <w:numPr>
          <w:ilvl w:val="-1"/>
          <w:numId w:val="0"/>
        </w:numPr>
        <w:spacing w:after="156" w:afterLines="50" w:line="360" w:lineRule="auto"/>
        <w:ind w:firstLine="480" w:firstLineChars="200"/>
        <w:rPr>
          <w:rFonts w:hint="eastAsia" w:ascii="楷体" w:hAnsi="楷体" w:eastAsia="楷体" w:cs="楷体"/>
          <w:sz w:val="24"/>
          <w:lang w:eastAsia="zh-CN"/>
        </w:rPr>
      </w:pPr>
      <w:r>
        <w:rPr>
          <w:rFonts w:hint="eastAsia" w:ascii="楷体" w:hAnsi="楷体" w:eastAsia="楷体" w:cs="楷体"/>
          <w:sz w:val="24"/>
          <w:lang w:eastAsia="zh-CN"/>
        </w:rPr>
        <w:t>（</w:t>
      </w:r>
      <w:r>
        <w:rPr>
          <w:rFonts w:hint="eastAsia" w:ascii="楷体" w:hAnsi="楷体" w:eastAsia="楷体" w:cs="楷体"/>
          <w:sz w:val="24"/>
          <w:lang w:val="en-US" w:eastAsia="zh-CN"/>
        </w:rPr>
        <w:t>2</w:t>
      </w:r>
      <w:r>
        <w:rPr>
          <w:rFonts w:hint="eastAsia" w:ascii="楷体" w:hAnsi="楷体" w:eastAsia="楷体" w:cs="楷体"/>
          <w:sz w:val="24"/>
          <w:lang w:eastAsia="zh-CN"/>
        </w:rPr>
        <w:t>）《关于修订&lt;会计师事务所选聘制度&gt;的议案》</w:t>
      </w:r>
    </w:p>
    <w:p w14:paraId="35F0991D">
      <w:pPr>
        <w:spacing w:after="156" w:afterLines="50" w:line="360" w:lineRule="auto"/>
        <w:ind w:firstLine="480" w:firstLineChars="200"/>
        <w:rPr>
          <w:rFonts w:hint="eastAsia" w:ascii="楷体" w:hAnsi="楷体" w:eastAsia="楷体" w:cs="楷体"/>
          <w:sz w:val="24"/>
        </w:rPr>
      </w:pPr>
      <w:r>
        <w:rPr>
          <w:rFonts w:hint="eastAsia" w:ascii="楷体" w:hAnsi="楷体" w:eastAsia="楷体" w:cs="楷体"/>
          <w:sz w:val="24"/>
        </w:rPr>
        <w:t>总表决情况：同意135,784,850股，占出席本次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有效表决权股份总数的99.5334</w:t>
      </w:r>
      <w:r>
        <w:rPr>
          <w:rFonts w:hint="eastAsia" w:ascii="楷体" w:hAnsi="楷体" w:eastAsia="楷体" w:cs="楷体"/>
          <w:sz w:val="24"/>
          <w:lang w:eastAsia="zh-CN"/>
        </w:rPr>
        <w:t>%</w:t>
      </w:r>
      <w:r>
        <w:rPr>
          <w:rFonts w:hint="eastAsia" w:ascii="楷体" w:hAnsi="楷体" w:eastAsia="楷体" w:cs="楷体"/>
          <w:sz w:val="24"/>
        </w:rPr>
        <w:t>；反对579,400股，占出席本次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有效表决权股份总数的0.4247</w:t>
      </w:r>
      <w:r>
        <w:rPr>
          <w:rFonts w:hint="eastAsia" w:ascii="楷体" w:hAnsi="楷体" w:eastAsia="楷体" w:cs="楷体"/>
          <w:sz w:val="24"/>
          <w:lang w:eastAsia="zh-CN"/>
        </w:rPr>
        <w:t>%</w:t>
      </w:r>
      <w:r>
        <w:rPr>
          <w:rFonts w:hint="eastAsia" w:ascii="楷体" w:hAnsi="楷体" w:eastAsia="楷体" w:cs="楷体"/>
          <w:sz w:val="24"/>
        </w:rPr>
        <w:t>；弃权57,200股（其中，因未投票默认弃权1,000股），占出席本次</w:t>
      </w:r>
      <w:r>
        <w:rPr>
          <w:rFonts w:hint="eastAsia" w:ascii="楷体" w:hAnsi="楷体" w:eastAsia="楷体" w:cs="楷体"/>
          <w:sz w:val="24"/>
          <w:lang w:eastAsia="zh-CN"/>
        </w:rPr>
        <w:t>股东大会</w:t>
      </w:r>
      <w:r>
        <w:rPr>
          <w:rFonts w:hint="eastAsia" w:ascii="楷体" w:hAnsi="楷体" w:eastAsia="楷体" w:cs="楷体"/>
          <w:sz w:val="24"/>
        </w:rPr>
        <w:t>有效表决权股份总数的0.0419</w:t>
      </w:r>
      <w:r>
        <w:rPr>
          <w:rFonts w:hint="eastAsia" w:ascii="楷体" w:hAnsi="楷体" w:eastAsia="楷体" w:cs="楷体"/>
          <w:sz w:val="24"/>
          <w:lang w:eastAsia="zh-CN"/>
        </w:rPr>
        <w:t>%</w:t>
      </w:r>
      <w:r>
        <w:rPr>
          <w:rFonts w:hint="eastAsia" w:ascii="楷体" w:hAnsi="楷体" w:eastAsia="楷体" w:cs="楷体"/>
          <w:sz w:val="24"/>
        </w:rPr>
        <w:t>。</w:t>
      </w:r>
    </w:p>
    <w:p w14:paraId="721688C6">
      <w:pPr>
        <w:spacing w:after="156" w:afterLines="50" w:line="360" w:lineRule="auto"/>
        <w:ind w:firstLine="480" w:firstLineChars="200"/>
        <w:rPr>
          <w:rFonts w:hint="eastAsia" w:ascii="楷体" w:hAnsi="楷体" w:eastAsia="楷体" w:cs="楷体"/>
          <w:sz w:val="24"/>
        </w:rPr>
      </w:pPr>
      <w:r>
        <w:rPr>
          <w:rFonts w:hint="eastAsia" w:ascii="楷体" w:hAnsi="楷体" w:eastAsia="楷体" w:cs="楷体"/>
          <w:sz w:val="24"/>
        </w:rPr>
        <w:t>中小股东总表决情况：同意1,078,350股，占出席本次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中小股东有效表决权股份总数的62.8794</w:t>
      </w:r>
      <w:r>
        <w:rPr>
          <w:rFonts w:hint="eastAsia" w:ascii="楷体" w:hAnsi="楷体" w:eastAsia="楷体" w:cs="楷体"/>
          <w:sz w:val="24"/>
          <w:lang w:eastAsia="zh-CN"/>
        </w:rPr>
        <w:t>%</w:t>
      </w:r>
      <w:r>
        <w:rPr>
          <w:rFonts w:hint="eastAsia" w:ascii="楷体" w:hAnsi="楷体" w:eastAsia="楷体" w:cs="楷体"/>
          <w:sz w:val="24"/>
        </w:rPr>
        <w:t>；反对579,400股，占出席本次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中小股东有效表决权股份总数的33.7852</w:t>
      </w:r>
      <w:r>
        <w:rPr>
          <w:rFonts w:hint="eastAsia" w:ascii="楷体" w:hAnsi="楷体" w:eastAsia="楷体" w:cs="楷体"/>
          <w:sz w:val="24"/>
          <w:lang w:eastAsia="zh-CN"/>
        </w:rPr>
        <w:t>%</w:t>
      </w:r>
      <w:r>
        <w:rPr>
          <w:rFonts w:hint="eastAsia" w:ascii="楷体" w:hAnsi="楷体" w:eastAsia="楷体" w:cs="楷体"/>
          <w:sz w:val="24"/>
        </w:rPr>
        <w:t>；弃权57,200股（其中，因未投票默认弃权1,000股），占出席本次</w:t>
      </w:r>
      <w:r>
        <w:rPr>
          <w:rFonts w:hint="eastAsia" w:ascii="楷体" w:hAnsi="楷体" w:eastAsia="楷体" w:cs="楷体"/>
          <w:sz w:val="24"/>
          <w:lang w:eastAsia="zh-CN"/>
        </w:rPr>
        <w:t>股东大会</w:t>
      </w:r>
      <w:r>
        <w:rPr>
          <w:rFonts w:hint="eastAsia" w:ascii="楷体" w:hAnsi="楷体" w:eastAsia="楷体" w:cs="楷体"/>
          <w:sz w:val="24"/>
        </w:rPr>
        <w:t>中小股东有效表决权股份总数的3.3354</w:t>
      </w:r>
      <w:r>
        <w:rPr>
          <w:rFonts w:hint="eastAsia" w:ascii="楷体" w:hAnsi="楷体" w:eastAsia="楷体" w:cs="楷体"/>
          <w:sz w:val="24"/>
          <w:lang w:eastAsia="zh-CN"/>
        </w:rPr>
        <w:t>%</w:t>
      </w:r>
      <w:r>
        <w:rPr>
          <w:rFonts w:hint="eastAsia" w:ascii="楷体" w:hAnsi="楷体" w:eastAsia="楷体" w:cs="楷体"/>
          <w:sz w:val="24"/>
        </w:rPr>
        <w:t>。</w:t>
      </w:r>
    </w:p>
    <w:p w14:paraId="77F17408">
      <w:pPr>
        <w:spacing w:after="156" w:afterLines="50"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lang w:val="en-US" w:eastAsia="zh-CN"/>
        </w:rPr>
        <w:t>本次股东大会审议的第1项、第2项议案中的第（1）（2）项子议案为特别决议事项，经出席股东大会的股东及委托代理人所持表决权的三分之二以上通过；本次股东大会审议的其他议案均为普通决议事项，经出席股东大会的股东及委托代理人所持表决权的过半数通过。</w:t>
      </w:r>
    </w:p>
    <w:p w14:paraId="009C3056">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lang w:val="en-US" w:eastAsia="zh-CN"/>
        </w:rPr>
        <w:t>综上，</w:t>
      </w:r>
      <w:r>
        <w:rPr>
          <w:rFonts w:hint="eastAsia" w:ascii="楷体" w:hAnsi="楷体" w:eastAsia="楷体" w:cs="楷体"/>
          <w:sz w:val="24"/>
        </w:rPr>
        <w:t>本次股东大会所审议的议案经出席会议的股东及委托代理人所持表决权有效表决通过。</w:t>
      </w:r>
    </w:p>
    <w:p w14:paraId="1B66D601">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（三）会议记录</w:t>
      </w:r>
    </w:p>
    <w:p w14:paraId="757B513E">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本次股东大会会议记录由出席会议的公司董事、监事、董事会秘书、召集人或其代表、会议主持人签名。</w:t>
      </w:r>
    </w:p>
    <w:p w14:paraId="633A4D04">
      <w:pPr>
        <w:spacing w:after="156" w:afterLines="50" w:line="360" w:lineRule="auto"/>
        <w:ind w:firstLine="480" w:firstLineChars="200"/>
        <w:rPr>
          <w:rFonts w:ascii="楷体" w:hAnsi="楷体" w:eastAsia="楷体" w:cs="楷体"/>
          <w:color w:val="FF0000"/>
          <w:sz w:val="24"/>
        </w:rPr>
      </w:pPr>
      <w:r>
        <w:rPr>
          <w:rFonts w:hint="eastAsia" w:ascii="楷体" w:hAnsi="楷体" w:eastAsia="楷体" w:cs="楷体"/>
          <w:sz w:val="24"/>
        </w:rPr>
        <w:t>经本所律师</w:t>
      </w:r>
      <w:r>
        <w:rPr>
          <w:rFonts w:hint="eastAsia" w:ascii="楷体" w:hAnsi="楷体" w:eastAsia="楷体" w:cs="楷体"/>
          <w:sz w:val="24"/>
          <w:lang w:val="en-US" w:eastAsia="zh-CN"/>
        </w:rPr>
        <w:t>核查</w:t>
      </w:r>
      <w:r>
        <w:rPr>
          <w:rFonts w:hint="eastAsia" w:ascii="楷体" w:hAnsi="楷体" w:eastAsia="楷体" w:cs="楷体"/>
          <w:sz w:val="24"/>
        </w:rPr>
        <w:t>，本次股东大会的表决程序及表决结果符合相关法律、行政法规、《规则》及现行《公司章程》的规定，合法、有效。</w:t>
      </w:r>
    </w:p>
    <w:p w14:paraId="6DBEB08D">
      <w:pPr>
        <w:spacing w:before="156" w:beforeLines="50" w:after="156" w:afterLines="50" w:line="360" w:lineRule="auto"/>
        <w:ind w:firstLine="482" w:firstLineChars="200"/>
        <w:outlineLvl w:val="0"/>
        <w:rPr>
          <w:rFonts w:ascii="楷体" w:hAnsi="楷体" w:eastAsia="楷体" w:cs="楷体"/>
          <w:b/>
          <w:bCs/>
          <w:sz w:val="24"/>
        </w:rPr>
      </w:pPr>
      <w:r>
        <w:rPr>
          <w:rFonts w:hint="eastAsia" w:ascii="楷体" w:hAnsi="楷体" w:eastAsia="楷体" w:cs="楷体"/>
          <w:b/>
          <w:bCs/>
          <w:sz w:val="24"/>
        </w:rPr>
        <w:t>四、结论</w:t>
      </w:r>
    </w:p>
    <w:p w14:paraId="07D3397C">
      <w:pPr>
        <w:spacing w:after="156" w:afterLines="50" w:line="360" w:lineRule="auto"/>
        <w:ind w:firstLine="480" w:firstLineChars="200"/>
        <w:rPr>
          <w:rFonts w:ascii="楷体" w:hAnsi="楷体" w:eastAsia="楷体" w:cs="楷体"/>
          <w:sz w:val="24"/>
        </w:rPr>
      </w:pPr>
      <w:r>
        <w:rPr>
          <w:rFonts w:hint="eastAsia" w:ascii="楷体" w:hAnsi="楷体" w:eastAsia="楷体" w:cs="楷体"/>
          <w:sz w:val="24"/>
        </w:rPr>
        <w:t>综上所述，本所律师认为，公司本次股东大会的召集、召开程序符合有关法律、行政法规、《规则》及公司现行《公司章程》的规定；出席本次股东大会人员的资格、召集人资格合法、有效；本次股东大会的表决程序和表决结果合法、有效。</w:t>
      </w:r>
    </w:p>
    <w:p w14:paraId="2E9C4092">
      <w:pPr>
        <w:spacing w:after="156" w:afterLines="50" w:line="360" w:lineRule="auto"/>
        <w:ind w:firstLine="480" w:firstLineChars="200"/>
        <w:rPr>
          <w:rFonts w:hint="eastAsia" w:ascii="楷体" w:hAnsi="楷体" w:eastAsia="楷体" w:cs="楷体"/>
          <w:sz w:val="24"/>
        </w:rPr>
      </w:pPr>
      <w:r>
        <w:rPr>
          <w:rFonts w:hint="eastAsia" w:ascii="楷体" w:hAnsi="楷体" w:eastAsia="楷体" w:cs="楷体"/>
          <w:sz w:val="24"/>
        </w:rPr>
        <w:t>本法律意见书一式两份，经本所负责人及经办律师签字并加盖本所公章后生效，具有同等法律效力。</w:t>
      </w:r>
    </w:p>
    <w:p w14:paraId="690F4193">
      <w:pPr>
        <w:spacing w:after="0" w:afterLines="-2147483648" w:line="240" w:lineRule="auto"/>
        <w:ind w:firstLine="0" w:firstLineChars="0"/>
        <w:rPr>
          <w:rFonts w:hint="eastAsia" w:ascii="楷体" w:hAnsi="楷体" w:eastAsia="楷体" w:cs="楷体"/>
          <w:sz w:val="24"/>
        </w:rPr>
      </w:pPr>
      <w:r>
        <w:rPr>
          <w:rFonts w:hint="eastAsia" w:ascii="楷体" w:hAnsi="楷体" w:eastAsia="楷体" w:cs="楷体"/>
          <w:sz w:val="24"/>
        </w:rPr>
        <w:br w:type="page"/>
      </w:r>
    </w:p>
    <w:p w14:paraId="7855989A">
      <w:pPr>
        <w:spacing w:after="156" w:afterLines="50" w:line="360" w:lineRule="auto"/>
        <w:rPr>
          <w:rFonts w:ascii="楷体" w:hAnsi="楷体" w:eastAsia="楷体" w:cs="楷体"/>
          <w:b/>
          <w:sz w:val="24"/>
        </w:rPr>
      </w:pPr>
      <w:r>
        <w:rPr>
          <w:rFonts w:hint="eastAsia" w:ascii="楷体" w:hAnsi="楷体" w:eastAsia="楷体" w:cs="楷体"/>
          <w:sz w:val="24"/>
        </w:rPr>
        <w:t>（本页无正文，为《北京观韬（西安）律师事务所关于南京宝色股份公司202</w:t>
      </w:r>
      <w:r>
        <w:rPr>
          <w:rFonts w:hint="eastAsia" w:ascii="楷体" w:hAnsi="楷体" w:eastAsia="楷体" w:cs="楷体"/>
          <w:sz w:val="24"/>
          <w:lang w:val="en-US" w:eastAsia="zh-CN"/>
        </w:rPr>
        <w:t>5</w:t>
      </w:r>
      <w:r>
        <w:rPr>
          <w:rFonts w:hint="eastAsia" w:ascii="楷体" w:hAnsi="楷体" w:eastAsia="楷体" w:cs="楷体"/>
          <w:sz w:val="24"/>
        </w:rPr>
        <w:t>年第</w:t>
      </w:r>
      <w:r>
        <w:rPr>
          <w:rFonts w:hint="eastAsia" w:ascii="楷体" w:hAnsi="楷体" w:eastAsia="楷体" w:cs="楷体"/>
          <w:sz w:val="24"/>
          <w:lang w:val="en-US" w:eastAsia="zh-CN"/>
        </w:rPr>
        <w:t>二</w:t>
      </w:r>
      <w:r>
        <w:rPr>
          <w:rFonts w:hint="eastAsia" w:ascii="楷体" w:hAnsi="楷体" w:eastAsia="楷体" w:cs="楷体"/>
          <w:sz w:val="24"/>
        </w:rPr>
        <w:t>次临时股东大会的法律意见书》之签字盖章页）</w:t>
      </w:r>
    </w:p>
    <w:p w14:paraId="09259826">
      <w:pPr>
        <w:spacing w:line="480" w:lineRule="auto"/>
        <w:rPr>
          <w:rFonts w:ascii="楷体" w:hAnsi="楷体" w:eastAsia="楷体" w:cs="楷体"/>
          <w:sz w:val="24"/>
        </w:rPr>
      </w:pPr>
    </w:p>
    <w:p w14:paraId="5A90F38F">
      <w:pPr>
        <w:spacing w:line="480" w:lineRule="auto"/>
        <w:rPr>
          <w:rFonts w:ascii="楷体" w:hAnsi="楷体" w:eastAsia="楷体" w:cs="楷体"/>
          <w:sz w:val="24"/>
        </w:rPr>
      </w:pPr>
    </w:p>
    <w:p w14:paraId="36374996">
      <w:pPr>
        <w:spacing w:line="480" w:lineRule="auto"/>
        <w:rPr>
          <w:rFonts w:ascii="楷体" w:hAnsi="楷体" w:eastAsia="楷体" w:cs="楷体"/>
          <w:sz w:val="24"/>
        </w:rPr>
      </w:pPr>
    </w:p>
    <w:p w14:paraId="0251F086">
      <w:pPr>
        <w:spacing w:line="360" w:lineRule="auto"/>
        <w:ind w:firstLine="480" w:firstLineChars="200"/>
        <w:rPr>
          <w:rFonts w:ascii="楷体" w:hAnsi="楷体" w:eastAsia="楷体" w:cs="楷体"/>
          <w:sz w:val="24"/>
        </w:rPr>
      </w:pPr>
      <w:r>
        <w:rPr>
          <w:rFonts w:hint="eastAsia" w:ascii="楷体" w:hAnsi="楷体" w:eastAsia="楷体" w:cs="楷体"/>
          <w:sz w:val="24"/>
        </w:rPr>
        <w:t>北京观韬（西安）律师事务所</w:t>
      </w:r>
    </w:p>
    <w:p w14:paraId="0B0F12CA">
      <w:pPr>
        <w:spacing w:line="360" w:lineRule="auto"/>
        <w:ind w:firstLine="480" w:firstLineChars="200"/>
        <w:rPr>
          <w:rFonts w:ascii="楷体" w:hAnsi="楷体" w:eastAsia="楷体" w:cs="楷体"/>
          <w:sz w:val="24"/>
        </w:rPr>
      </w:pPr>
    </w:p>
    <w:p w14:paraId="0858E230">
      <w:pPr>
        <w:spacing w:line="360" w:lineRule="auto"/>
        <w:ind w:firstLine="480" w:firstLineChars="200"/>
        <w:rPr>
          <w:rFonts w:ascii="楷体" w:hAnsi="楷体" w:eastAsia="楷体" w:cs="楷体"/>
          <w:sz w:val="24"/>
        </w:rPr>
      </w:pPr>
    </w:p>
    <w:p w14:paraId="330EB6F8">
      <w:pPr>
        <w:spacing w:line="360" w:lineRule="auto"/>
        <w:ind w:firstLine="480" w:firstLineChars="200"/>
        <w:rPr>
          <w:rFonts w:ascii="楷体" w:hAnsi="楷体" w:eastAsia="楷体" w:cs="楷体"/>
          <w:sz w:val="24"/>
        </w:rPr>
      </w:pPr>
      <w:r>
        <w:rPr>
          <w:rFonts w:hint="eastAsia" w:ascii="楷体" w:hAnsi="楷体" w:eastAsia="楷体" w:cs="楷体"/>
          <w:sz w:val="24"/>
        </w:rPr>
        <w:t>负责人：贾建伟                     经办律师：张翠雨</w:t>
      </w:r>
    </w:p>
    <w:p w14:paraId="4EB42FEF">
      <w:pPr>
        <w:spacing w:line="480" w:lineRule="auto"/>
        <w:rPr>
          <w:rFonts w:ascii="楷体" w:hAnsi="楷体" w:eastAsia="楷体" w:cs="楷体"/>
          <w:sz w:val="24"/>
        </w:rPr>
      </w:pPr>
    </w:p>
    <w:p w14:paraId="10D8C3CC">
      <w:pPr>
        <w:spacing w:line="360" w:lineRule="auto"/>
        <w:ind w:firstLine="480" w:firstLineChars="200"/>
        <w:rPr>
          <w:rFonts w:ascii="楷体" w:hAnsi="楷体" w:eastAsia="楷体" w:cs="楷体"/>
          <w:sz w:val="24"/>
        </w:rPr>
      </w:pPr>
      <w:r>
        <w:rPr>
          <w:rFonts w:hint="eastAsia" w:ascii="楷体" w:hAnsi="楷体" w:eastAsia="楷体" w:cs="楷体"/>
          <w:sz w:val="24"/>
        </w:rPr>
        <w:t xml:space="preserve">        </w:t>
      </w:r>
      <w:r>
        <w:rPr>
          <w:rFonts w:hint="eastAsia" w:ascii="楷体" w:hAnsi="楷体" w:eastAsia="楷体" w:cs="楷体"/>
          <w:sz w:val="24"/>
          <w:u w:val="single"/>
        </w:rPr>
        <w:t xml:space="preserve">               </w:t>
      </w:r>
      <w:r>
        <w:rPr>
          <w:rFonts w:hint="eastAsia" w:ascii="楷体" w:hAnsi="楷体" w:eastAsia="楷体" w:cs="楷体"/>
          <w:sz w:val="24"/>
        </w:rPr>
        <w:t xml:space="preserve">                      </w:t>
      </w:r>
      <w:r>
        <w:rPr>
          <w:rFonts w:hint="eastAsia" w:ascii="楷体" w:hAnsi="楷体" w:eastAsia="楷体" w:cs="楷体"/>
          <w:sz w:val="24"/>
          <w:u w:val="single"/>
        </w:rPr>
        <w:t xml:space="preserve">                </w:t>
      </w:r>
    </w:p>
    <w:p w14:paraId="6A05A743">
      <w:pPr>
        <w:spacing w:line="360" w:lineRule="auto"/>
        <w:ind w:firstLine="480" w:firstLineChars="200"/>
        <w:rPr>
          <w:rFonts w:ascii="楷体" w:hAnsi="楷体" w:eastAsia="楷体" w:cs="楷体"/>
          <w:sz w:val="24"/>
        </w:rPr>
      </w:pPr>
    </w:p>
    <w:p w14:paraId="1D253DEE">
      <w:pPr>
        <w:spacing w:line="360" w:lineRule="auto"/>
        <w:ind w:firstLine="480" w:firstLineChars="200"/>
        <w:rPr>
          <w:rFonts w:ascii="楷体" w:hAnsi="楷体" w:eastAsia="楷体" w:cs="楷体"/>
          <w:sz w:val="24"/>
        </w:rPr>
      </w:pPr>
    </w:p>
    <w:p w14:paraId="2DB75A6E">
      <w:pPr>
        <w:spacing w:line="360" w:lineRule="auto"/>
        <w:ind w:firstLine="480" w:firstLineChars="200"/>
        <w:rPr>
          <w:rFonts w:ascii="楷体" w:hAnsi="楷体" w:eastAsia="楷体" w:cs="楷体"/>
          <w:sz w:val="24"/>
        </w:rPr>
      </w:pPr>
      <w:r>
        <w:rPr>
          <w:rFonts w:hint="eastAsia" w:ascii="楷体" w:hAnsi="楷体" w:eastAsia="楷体" w:cs="楷体"/>
          <w:sz w:val="24"/>
        </w:rPr>
        <w:t xml:space="preserve">                                   经办律师：杨梅</w:t>
      </w:r>
    </w:p>
    <w:p w14:paraId="072C77FF">
      <w:pPr>
        <w:spacing w:line="480" w:lineRule="auto"/>
        <w:rPr>
          <w:rFonts w:ascii="楷体" w:hAnsi="楷体" w:eastAsia="楷体" w:cs="楷体"/>
          <w:sz w:val="24"/>
        </w:rPr>
      </w:pPr>
    </w:p>
    <w:p w14:paraId="72A102DB">
      <w:pPr>
        <w:spacing w:line="360" w:lineRule="auto"/>
        <w:ind w:firstLine="480" w:firstLineChars="200"/>
        <w:rPr>
          <w:rFonts w:ascii="楷体" w:hAnsi="楷体" w:eastAsia="楷体" w:cs="楷体"/>
          <w:sz w:val="24"/>
        </w:rPr>
      </w:pPr>
      <w:r>
        <w:rPr>
          <w:rFonts w:hint="eastAsia" w:ascii="楷体" w:hAnsi="楷体" w:eastAsia="楷体" w:cs="楷体"/>
          <w:sz w:val="24"/>
        </w:rPr>
        <w:t xml:space="preserve">                                             </w:t>
      </w:r>
      <w:r>
        <w:rPr>
          <w:rFonts w:hint="eastAsia" w:ascii="楷体" w:hAnsi="楷体" w:eastAsia="楷体" w:cs="楷体"/>
          <w:sz w:val="24"/>
          <w:u w:val="single"/>
        </w:rPr>
        <w:t xml:space="preserve">                </w:t>
      </w:r>
    </w:p>
    <w:p w14:paraId="105AE679">
      <w:pPr>
        <w:spacing w:line="360" w:lineRule="auto"/>
        <w:ind w:firstLine="480" w:firstLineChars="200"/>
        <w:rPr>
          <w:rFonts w:ascii="楷体" w:hAnsi="楷体" w:eastAsia="楷体" w:cs="楷体"/>
          <w:sz w:val="24"/>
        </w:rPr>
      </w:pPr>
    </w:p>
    <w:p w14:paraId="3C49AF00">
      <w:pPr>
        <w:spacing w:line="360" w:lineRule="auto"/>
        <w:ind w:firstLine="480" w:firstLineChars="200"/>
        <w:rPr>
          <w:rFonts w:ascii="楷体" w:hAnsi="楷体" w:eastAsia="楷体" w:cs="楷体"/>
          <w:sz w:val="24"/>
        </w:rPr>
      </w:pPr>
    </w:p>
    <w:p w14:paraId="1DAB894D">
      <w:pPr>
        <w:spacing w:line="360" w:lineRule="auto"/>
        <w:ind w:firstLine="480" w:firstLineChars="200"/>
        <w:rPr>
          <w:rFonts w:ascii="楷体" w:hAnsi="楷体" w:eastAsia="楷体" w:cs="楷体"/>
          <w:sz w:val="24"/>
        </w:rPr>
      </w:pPr>
    </w:p>
    <w:p w14:paraId="4D320513">
      <w:pPr>
        <w:spacing w:line="360" w:lineRule="auto"/>
        <w:ind w:firstLine="480" w:firstLineChars="200"/>
        <w:rPr>
          <w:rFonts w:ascii="Calibri" w:hAnsi="Calibri" w:eastAsia="宋体" w:cs="Times New Roman"/>
        </w:rPr>
      </w:pPr>
      <w:r>
        <w:rPr>
          <w:rFonts w:hint="eastAsia" w:ascii="楷体" w:hAnsi="楷体" w:eastAsia="楷体" w:cs="楷体"/>
          <w:sz w:val="24"/>
        </w:rPr>
        <w:t xml:space="preserve">                                                年    月    日</w:t>
      </w:r>
    </w:p>
    <w:p w14:paraId="41AD023E">
      <w:pPr>
        <w:adjustRightInd w:val="0"/>
        <w:snapToGrid w:val="0"/>
        <w:spacing w:line="360" w:lineRule="auto"/>
        <w:jc w:val="center"/>
        <w:rPr>
          <w:rFonts w:ascii="黑体" w:hAnsi="黑体" w:eastAsia="黑体" w:cs="Times New Roman"/>
          <w:b/>
          <w:sz w:val="24"/>
          <w:szCs w:val="24"/>
        </w:rPr>
      </w:pPr>
    </w:p>
    <w:p w14:paraId="665D8ADE">
      <w:pPr>
        <w:spacing w:after="156" w:afterLines="50" w:line="360" w:lineRule="auto"/>
        <w:ind w:firstLine="480" w:firstLineChars="200"/>
        <w:rPr>
          <w:rFonts w:hint="eastAsia" w:ascii="楷体" w:hAnsi="楷体" w:eastAsia="楷体" w:cs="楷体"/>
          <w:sz w:val="24"/>
        </w:rPr>
      </w:pPr>
    </w:p>
    <w:p w14:paraId="1ADC8B4E">
      <w:pPr>
        <w:spacing w:line="360" w:lineRule="auto"/>
        <w:ind w:firstLine="480" w:firstLineChars="200"/>
        <w:rPr>
          <w:rFonts w:ascii="楷体" w:hAnsi="楷体" w:eastAsia="楷体" w:cs="楷体"/>
          <w:sz w:val="24"/>
        </w:rPr>
      </w:pPr>
    </w:p>
    <w:p w14:paraId="7F1C91B2">
      <w:pPr>
        <w:spacing w:after="0" w:afterLines="-2147483648" w:line="360" w:lineRule="auto"/>
        <w:ind w:firstLine="0" w:firstLineChars="0"/>
        <w:jc w:val="left"/>
        <w:rPr>
          <w:rFonts w:hint="eastAsia"/>
        </w:rPr>
      </w:pPr>
    </w:p>
    <w:sectPr>
      <w:headerReference r:id="rId3" w:type="default"/>
      <w:footerReference r:id="rId4" w:type="default"/>
      <w:pgSz w:w="11906" w:h="16838"/>
      <w:pgMar w:top="3045"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E3EBD">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F795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2F795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07AC0">
    <w:pPr>
      <w:pStyle w:val="8"/>
      <w:rPr>
        <w:rFonts w:hint="eastAsia"/>
      </w:rPr>
    </w:pPr>
    <w:r>
      <w:drawing>
        <wp:anchor distT="0" distB="0" distL="114300" distR="114300" simplePos="0" relativeHeight="251659264" behindDoc="0" locked="0" layoutInCell="1" allowOverlap="1">
          <wp:simplePos x="0" y="0"/>
          <wp:positionH relativeFrom="column">
            <wp:posOffset>-1112520</wp:posOffset>
          </wp:positionH>
          <wp:positionV relativeFrom="paragraph">
            <wp:posOffset>-521335</wp:posOffset>
          </wp:positionV>
          <wp:extent cx="7529195" cy="1932940"/>
          <wp:effectExtent l="0" t="0" r="0" b="0"/>
          <wp:wrapNone/>
          <wp:docPr id="458875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7535"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29429" cy="19331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B6013"/>
    <w:multiLevelType w:val="singleLevel"/>
    <w:tmpl w:val="980B6013"/>
    <w:lvl w:ilvl="0" w:tentative="0">
      <w:start w:val="2"/>
      <w:numFmt w:val="decimal"/>
      <w:suff w:val="nothing"/>
      <w:lvlText w:val="（%1）"/>
      <w:lvlJc w:val="left"/>
    </w:lvl>
  </w:abstractNum>
  <w:abstractNum w:abstractNumId="1">
    <w:nsid w:val="1456BD3D"/>
    <w:multiLevelType w:val="singleLevel"/>
    <w:tmpl w:val="1456BD3D"/>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61"/>
    <w:rsid w:val="00015E1E"/>
    <w:rsid w:val="00067132"/>
    <w:rsid w:val="000C4474"/>
    <w:rsid w:val="00121DD0"/>
    <w:rsid w:val="00132E7B"/>
    <w:rsid w:val="001A2E86"/>
    <w:rsid w:val="001C6CBB"/>
    <w:rsid w:val="001E06B4"/>
    <w:rsid w:val="00204A37"/>
    <w:rsid w:val="002353D2"/>
    <w:rsid w:val="00240BFC"/>
    <w:rsid w:val="00264F12"/>
    <w:rsid w:val="00291A2C"/>
    <w:rsid w:val="002A7E79"/>
    <w:rsid w:val="002D6017"/>
    <w:rsid w:val="00343419"/>
    <w:rsid w:val="003A1249"/>
    <w:rsid w:val="003F76A3"/>
    <w:rsid w:val="00405858"/>
    <w:rsid w:val="00407D12"/>
    <w:rsid w:val="00414C00"/>
    <w:rsid w:val="0041539F"/>
    <w:rsid w:val="00427B4C"/>
    <w:rsid w:val="004339EE"/>
    <w:rsid w:val="00434ECA"/>
    <w:rsid w:val="00443E6C"/>
    <w:rsid w:val="0046668E"/>
    <w:rsid w:val="0047436B"/>
    <w:rsid w:val="00481278"/>
    <w:rsid w:val="00490C3E"/>
    <w:rsid w:val="004A6E07"/>
    <w:rsid w:val="004B47AF"/>
    <w:rsid w:val="004D5F56"/>
    <w:rsid w:val="004F56BB"/>
    <w:rsid w:val="00551DB3"/>
    <w:rsid w:val="0056174C"/>
    <w:rsid w:val="005A342F"/>
    <w:rsid w:val="005B7B0C"/>
    <w:rsid w:val="005E270A"/>
    <w:rsid w:val="006454F8"/>
    <w:rsid w:val="00670C84"/>
    <w:rsid w:val="006B7AEB"/>
    <w:rsid w:val="006B7DAE"/>
    <w:rsid w:val="006C1A7A"/>
    <w:rsid w:val="00711AE1"/>
    <w:rsid w:val="0073370B"/>
    <w:rsid w:val="00762EA0"/>
    <w:rsid w:val="007831DE"/>
    <w:rsid w:val="007F2CAF"/>
    <w:rsid w:val="00815A2E"/>
    <w:rsid w:val="00824D33"/>
    <w:rsid w:val="0083342A"/>
    <w:rsid w:val="00851518"/>
    <w:rsid w:val="00862BA2"/>
    <w:rsid w:val="008B6E8C"/>
    <w:rsid w:val="008F20E3"/>
    <w:rsid w:val="009065F1"/>
    <w:rsid w:val="0091128D"/>
    <w:rsid w:val="0093676E"/>
    <w:rsid w:val="00957ABA"/>
    <w:rsid w:val="00982642"/>
    <w:rsid w:val="009D11B6"/>
    <w:rsid w:val="009D5971"/>
    <w:rsid w:val="009F7AD4"/>
    <w:rsid w:val="00A1754E"/>
    <w:rsid w:val="00A317F5"/>
    <w:rsid w:val="00A35431"/>
    <w:rsid w:val="00A478E9"/>
    <w:rsid w:val="00AA3B68"/>
    <w:rsid w:val="00AC6F7D"/>
    <w:rsid w:val="00AD624D"/>
    <w:rsid w:val="00B017C4"/>
    <w:rsid w:val="00B72572"/>
    <w:rsid w:val="00BE648C"/>
    <w:rsid w:val="00BF721C"/>
    <w:rsid w:val="00C01AA6"/>
    <w:rsid w:val="00C21054"/>
    <w:rsid w:val="00C242AE"/>
    <w:rsid w:val="00C9247F"/>
    <w:rsid w:val="00CA43CE"/>
    <w:rsid w:val="00CD70DA"/>
    <w:rsid w:val="00D2435F"/>
    <w:rsid w:val="00E457D1"/>
    <w:rsid w:val="00EB04F5"/>
    <w:rsid w:val="00ED6338"/>
    <w:rsid w:val="00F244AB"/>
    <w:rsid w:val="00F31BCE"/>
    <w:rsid w:val="00F36248"/>
    <w:rsid w:val="00F56F2F"/>
    <w:rsid w:val="00FB0461"/>
    <w:rsid w:val="00FB0E0B"/>
    <w:rsid w:val="065C457D"/>
    <w:rsid w:val="098C5E64"/>
    <w:rsid w:val="0A8B31CC"/>
    <w:rsid w:val="11561326"/>
    <w:rsid w:val="153C0833"/>
    <w:rsid w:val="20272221"/>
    <w:rsid w:val="211D2925"/>
    <w:rsid w:val="25125A1C"/>
    <w:rsid w:val="259D2393"/>
    <w:rsid w:val="27254C0D"/>
    <w:rsid w:val="283A64D4"/>
    <w:rsid w:val="2AA900F9"/>
    <w:rsid w:val="2EC61441"/>
    <w:rsid w:val="3693381E"/>
    <w:rsid w:val="3A145757"/>
    <w:rsid w:val="408B4299"/>
    <w:rsid w:val="423875A4"/>
    <w:rsid w:val="43B43B06"/>
    <w:rsid w:val="460A27D0"/>
    <w:rsid w:val="47F44E19"/>
    <w:rsid w:val="489D725F"/>
    <w:rsid w:val="4CBF493A"/>
    <w:rsid w:val="4E8D104F"/>
    <w:rsid w:val="5074015D"/>
    <w:rsid w:val="5164091A"/>
    <w:rsid w:val="5C562A9A"/>
    <w:rsid w:val="5EB97FED"/>
    <w:rsid w:val="5F8524A2"/>
    <w:rsid w:val="60012B45"/>
    <w:rsid w:val="67400787"/>
    <w:rsid w:val="68F44821"/>
    <w:rsid w:val="6ED8429D"/>
    <w:rsid w:val="78EF0B61"/>
    <w:rsid w:val="7C6D4AED"/>
    <w:rsid w:val="7DB41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next w:val="3"/>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3">
    <w:name w:val="Plain Text"/>
    <w:next w:val="4"/>
    <w:qFormat/>
    <w:uiPriority w:val="0"/>
    <w:pPr>
      <w:widowControl w:val="0"/>
      <w:jc w:val="both"/>
    </w:pPr>
    <w:rPr>
      <w:rFonts w:ascii="宋体" w:hAnsi="Courier New" w:eastAsia="宋体" w:cs="Courier New"/>
      <w:kern w:val="2"/>
      <w:sz w:val="21"/>
      <w:szCs w:val="21"/>
      <w:lang w:val="en-US" w:eastAsia="zh-CN" w:bidi="ar-SA"/>
    </w:rPr>
  </w:style>
  <w:style w:type="paragraph" w:styleId="4">
    <w:name w:val="Body Text"/>
    <w:next w:val="5"/>
    <w:qFormat/>
    <w:uiPriority w:val="0"/>
    <w:pPr>
      <w:widowControl w:val="0"/>
      <w:spacing w:line="320" w:lineRule="exact"/>
      <w:jc w:val="both"/>
    </w:pPr>
    <w:rPr>
      <w:rFonts w:ascii="宋体" w:hAnsi="宋体" w:eastAsia="宋体" w:cs="Times New Roman"/>
      <w:kern w:val="0"/>
      <w:sz w:val="30"/>
      <w:szCs w:val="24"/>
      <w:lang w:val="en-US" w:eastAsia="zh-CN" w:bidi="ar-SA"/>
    </w:rPr>
  </w:style>
  <w:style w:type="paragraph" w:styleId="5">
    <w:name w:val="Body Text Indent"/>
    <w:qFormat/>
    <w:uiPriority w:val="0"/>
    <w:pPr>
      <w:widowControl w:val="0"/>
      <w:spacing w:after="120" w:afterLines="0"/>
      <w:ind w:left="420" w:leftChars="200"/>
      <w:jc w:val="both"/>
    </w:pPr>
    <w:rPr>
      <w:rFonts w:ascii="Times New Roman" w:hAnsi="Times New Roman" w:eastAsia="宋体" w:cs="Times New Roman"/>
      <w:kern w:val="2"/>
      <w:sz w:val="21"/>
      <w:szCs w:val="24"/>
      <w:lang w:val="en-US" w:eastAsia="zh-CN" w:bidi="ar-SA"/>
    </w:rPr>
  </w:style>
  <w:style w:type="paragraph" w:styleId="6">
    <w:name w:val="annotation text"/>
    <w:basedOn w:val="1"/>
    <w:semiHidden/>
    <w:unhideWhenUsed/>
    <w:qFormat/>
    <w:uiPriority w:val="99"/>
    <w:pPr>
      <w:jc w:val="left"/>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Body Text First Indent"/>
    <w:unhideWhenUsed/>
    <w:qFormat/>
    <w:uiPriority w:val="99"/>
    <w:pPr>
      <w:widowControl w:val="0"/>
      <w:spacing w:line="320" w:lineRule="exact"/>
      <w:ind w:firstLine="420" w:firstLineChars="100"/>
      <w:jc w:val="both"/>
    </w:pPr>
    <w:rPr>
      <w:rFonts w:ascii="Times New Roman" w:hAnsi="Times New Roman" w:eastAsia="宋体" w:cs="Times New Roman"/>
      <w:kern w:val="2"/>
      <w:sz w:val="21"/>
      <w:szCs w:val="24"/>
      <w:lang w:val="en-US" w:eastAsia="zh-CN" w:bidi="ar-SA"/>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20"/>
    <w:rPr>
      <w:i/>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3112</Words>
  <Characters>3515</Characters>
  <Lines>0</Lines>
  <Paragraphs>0</Paragraphs>
  <TotalTime>20</TotalTime>
  <ScaleCrop>false</ScaleCrop>
  <LinksUpToDate>false</LinksUpToDate>
  <CharactersWithSpaces>3516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2024-06-26T08:17:00Z</dcterms:created>
  <dc:creator>Administrator</dc:creator>
  <cp:lastModifiedBy>ym</cp:lastModifiedBy>
  <dcterms:modified xsi:type="dcterms:W3CDTF">2025-09-25T08:49:32Z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eyJoZGlkIjoiMDU1NTYzMjc4ZDdlMzA2YmM5ZTQ5OTIwOGEyMzU0MDUiLCJ1c2VySWQiOiIzOTg5NDAzMzQifQ==</vt:lpwstr>
  </property>
  <property fmtid="{D5CDD505-2E9C-101B-9397-08002B2CF9AE}" pid="3" name="KSOProductBuildVer">
    <vt:lpwstr>2052-12.1.0.23125</vt:lpwstr>
  </property>
  <property fmtid="{D5CDD505-2E9C-101B-9397-08002B2CF9AE}" pid="4" name="ICV">
    <vt:lpwstr>62DDD4CE3AE242B0BE3EC5144E24449E_13</vt:lpwstr>
  </property>
</Properties>
</file>