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360" w:rsidRDefault="003F1360">
      <w:pPr>
        <w:widowControl/>
        <w:spacing w:line="480" w:lineRule="exact"/>
        <w:jc w:val="center"/>
        <w:outlineLvl w:val="0"/>
        <w:rPr>
          <w:rFonts w:ascii="黑体" w:eastAsia="黑体" w:hAnsi="黑体" w:cs="宋体" w:hint="eastAsia"/>
          <w:b/>
          <w:color w:val="000000"/>
          <w:kern w:val="0"/>
          <w:sz w:val="30"/>
          <w:szCs w:val="30"/>
        </w:rPr>
      </w:pPr>
      <w:bookmarkStart w:id="0" w:name="_Toc403420153"/>
      <w:r>
        <w:rPr>
          <w:rFonts w:ascii="黑体" w:eastAsia="黑体" w:hAnsi="黑体" w:cs="宋体" w:hint="eastAsia"/>
          <w:b/>
          <w:color w:val="000000"/>
          <w:kern w:val="0"/>
          <w:sz w:val="30"/>
          <w:szCs w:val="30"/>
        </w:rPr>
        <w:t>南京宝色股份公司</w:t>
      </w:r>
      <w:bookmarkStart w:id="1" w:name="_Toc170369073"/>
    </w:p>
    <w:p w:rsidR="003F1360" w:rsidRDefault="003F1360">
      <w:pPr>
        <w:widowControl/>
        <w:spacing w:line="480" w:lineRule="exact"/>
        <w:jc w:val="center"/>
        <w:outlineLvl w:val="0"/>
        <w:rPr>
          <w:rFonts w:ascii="黑体" w:eastAsia="黑体" w:hAnsi="黑体" w:cs="宋体"/>
          <w:b/>
          <w:color w:val="000000"/>
          <w:kern w:val="0"/>
          <w:sz w:val="30"/>
          <w:szCs w:val="30"/>
        </w:rPr>
      </w:pPr>
      <w:r>
        <w:rPr>
          <w:rFonts w:ascii="黑体" w:eastAsia="黑体" w:hAnsi="黑体" w:cs="宋体" w:hint="eastAsia"/>
          <w:b/>
          <w:color w:val="000000"/>
          <w:kern w:val="0"/>
          <w:sz w:val="30"/>
          <w:szCs w:val="30"/>
        </w:rPr>
        <w:t>董事会薪酬与考核委员会实施细则</w:t>
      </w:r>
      <w:bookmarkEnd w:id="0"/>
      <w:bookmarkEnd w:id="1"/>
    </w:p>
    <w:p w:rsidR="00532E67" w:rsidRPr="00F9438E" w:rsidRDefault="00532E67" w:rsidP="00532E67">
      <w:pPr>
        <w:widowControl/>
        <w:spacing w:beforeLines="50" w:afterLines="50" w:line="360" w:lineRule="auto"/>
        <w:jc w:val="center"/>
        <w:rPr>
          <w:rFonts w:ascii="宋体" w:hAnsi="宋体" w:cs="宋体"/>
          <w:color w:val="000000"/>
          <w:kern w:val="0"/>
          <w:sz w:val="24"/>
        </w:rPr>
      </w:pPr>
      <w:r w:rsidRPr="00F9438E">
        <w:rPr>
          <w:rFonts w:ascii="宋体" w:hAnsi="宋体" w:cs="宋体" w:hint="eastAsia"/>
          <w:color w:val="000000"/>
          <w:kern w:val="0"/>
          <w:sz w:val="24"/>
        </w:rPr>
        <w:t>(经</w:t>
      </w:r>
      <w:r>
        <w:rPr>
          <w:rFonts w:ascii="宋体" w:hAnsi="宋体" w:cs="宋体" w:hint="eastAsia"/>
          <w:color w:val="000000"/>
          <w:kern w:val="0"/>
          <w:sz w:val="24"/>
        </w:rPr>
        <w:t>2024年1月16日</w:t>
      </w:r>
      <w:r w:rsidRPr="00F9438E">
        <w:rPr>
          <w:rFonts w:ascii="宋体" w:hAnsi="宋体" w:cs="宋体" w:hint="eastAsia"/>
          <w:color w:val="000000"/>
          <w:kern w:val="0"/>
          <w:sz w:val="24"/>
        </w:rPr>
        <w:t>公司第五届董事会第二十三次会议审议通过</w:t>
      </w:r>
      <w:r>
        <w:rPr>
          <w:rFonts w:ascii="宋体" w:hAnsi="宋体" w:cs="宋体" w:hint="eastAsia"/>
          <w:color w:val="000000"/>
          <w:kern w:val="0"/>
          <w:sz w:val="24"/>
        </w:rPr>
        <w:t>修订</w:t>
      </w:r>
      <w:r w:rsidRPr="00F9438E">
        <w:rPr>
          <w:rFonts w:ascii="宋体" w:hAnsi="宋体" w:cs="宋体" w:hint="eastAsia"/>
          <w:color w:val="000000"/>
          <w:kern w:val="0"/>
          <w:sz w:val="24"/>
        </w:rPr>
        <w:t>)</w:t>
      </w:r>
    </w:p>
    <w:p w:rsidR="003F1360" w:rsidRDefault="003F1360">
      <w:pPr>
        <w:widowControl/>
        <w:spacing w:beforeLines="50" w:afterLines="50" w:line="360" w:lineRule="auto"/>
        <w:jc w:val="center"/>
        <w:rPr>
          <w:rFonts w:ascii="宋体" w:hAnsi="宋体" w:cs="宋体"/>
          <w:b/>
          <w:color w:val="000000"/>
          <w:kern w:val="0"/>
          <w:sz w:val="24"/>
          <w:szCs w:val="24"/>
        </w:rPr>
      </w:pPr>
      <w:r>
        <w:rPr>
          <w:rFonts w:ascii="宋体" w:hAnsi="宋体" w:cs="宋体" w:hint="eastAsia"/>
          <w:b/>
          <w:color w:val="000000"/>
          <w:kern w:val="0"/>
          <w:sz w:val="24"/>
          <w:szCs w:val="24"/>
        </w:rPr>
        <w:t>第一章  总则</w:t>
      </w:r>
    </w:p>
    <w:p w:rsidR="003F1360" w:rsidRDefault="003F1360">
      <w:pPr>
        <w:spacing w:afterLines="25" w:line="360" w:lineRule="auto"/>
        <w:ind w:firstLineChars="200" w:firstLine="482"/>
        <w:rPr>
          <w:rFonts w:ascii="宋体" w:hAnsi="宋体" w:cs="宋体"/>
          <w:color w:val="000000"/>
          <w:kern w:val="0"/>
          <w:sz w:val="24"/>
          <w:szCs w:val="24"/>
        </w:rPr>
      </w:pPr>
      <w:r>
        <w:rPr>
          <w:rFonts w:ascii="宋体" w:hAnsi="宋体" w:cs="宋体" w:hint="eastAsia"/>
          <w:b/>
          <w:color w:val="000000"/>
          <w:kern w:val="0"/>
          <w:sz w:val="24"/>
          <w:szCs w:val="24"/>
        </w:rPr>
        <w:t xml:space="preserve">第一条 </w:t>
      </w:r>
      <w:r>
        <w:rPr>
          <w:rFonts w:ascii="宋体" w:hAnsi="宋体" w:cs="宋体" w:hint="eastAsia"/>
          <w:color w:val="000000"/>
          <w:kern w:val="0"/>
          <w:sz w:val="24"/>
          <w:szCs w:val="24"/>
        </w:rPr>
        <w:t>为进一步建立健全南京宝色股份公司（以下简称“公司”）董事（不包括独立董事）和高级管理人员的考核和薪酬管理制度，完善公司治理结构，根据《中华人民共和国公司法》《上市公司治理准则》《上市公司独立董事管理办法》《深圳证券交易所创业板股票上市规则》《深圳证券交易所上市公司自律监管指引第2号-创业板上市公司规范运作》《南京宝色股份公司章程》（以下简称“《公司章程》”）及其他有关规定，公司特设立董事会薪酬与考核委员会，并制定本实施细则。</w:t>
      </w:r>
    </w:p>
    <w:p w:rsidR="003F1360" w:rsidRDefault="003F1360">
      <w:pPr>
        <w:spacing w:afterLines="25" w:line="360" w:lineRule="auto"/>
        <w:ind w:firstLineChars="200" w:firstLine="482"/>
        <w:rPr>
          <w:rFonts w:ascii="宋体" w:hAnsi="宋体" w:cs="宋体"/>
          <w:color w:val="000000"/>
          <w:kern w:val="0"/>
          <w:sz w:val="24"/>
          <w:szCs w:val="24"/>
        </w:rPr>
      </w:pPr>
      <w:r>
        <w:rPr>
          <w:rFonts w:ascii="宋体" w:hAnsi="宋体" w:cs="宋体" w:hint="eastAsia"/>
          <w:b/>
          <w:color w:val="000000"/>
          <w:kern w:val="0"/>
          <w:sz w:val="24"/>
          <w:szCs w:val="24"/>
        </w:rPr>
        <w:t xml:space="preserve">第二条 </w:t>
      </w:r>
      <w:r>
        <w:rPr>
          <w:rFonts w:ascii="宋体" w:hAnsi="宋体" w:cs="宋体" w:hint="eastAsia"/>
          <w:color w:val="000000"/>
          <w:kern w:val="0"/>
          <w:sz w:val="24"/>
          <w:szCs w:val="24"/>
        </w:rPr>
        <w:t>董事会薪酬与考核委员会是董事会设立的专门工作机构，主要负责制定公司董事及高级管理人员的考核标准并进行考核；负责制定、审查公司董事及高级管理人员的薪酬政策与方案，对董事会负责。</w:t>
      </w:r>
    </w:p>
    <w:p w:rsidR="003F1360" w:rsidRDefault="003F1360">
      <w:pPr>
        <w:spacing w:afterLines="25" w:line="360" w:lineRule="auto"/>
        <w:ind w:firstLineChars="200" w:firstLine="482"/>
        <w:rPr>
          <w:rFonts w:ascii="宋体" w:hAnsi="宋体" w:cs="宋体"/>
          <w:color w:val="000000"/>
          <w:kern w:val="0"/>
          <w:sz w:val="24"/>
          <w:szCs w:val="24"/>
        </w:rPr>
      </w:pPr>
      <w:r>
        <w:rPr>
          <w:rFonts w:ascii="宋体" w:hAnsi="宋体" w:cs="宋体" w:hint="eastAsia"/>
          <w:b/>
          <w:color w:val="000000"/>
          <w:kern w:val="0"/>
          <w:sz w:val="24"/>
          <w:szCs w:val="24"/>
        </w:rPr>
        <w:t xml:space="preserve">第三条 </w:t>
      </w:r>
      <w:r>
        <w:rPr>
          <w:rFonts w:ascii="宋体" w:hAnsi="宋体" w:cs="宋体" w:hint="eastAsia"/>
          <w:color w:val="000000"/>
          <w:kern w:val="0"/>
          <w:sz w:val="24"/>
          <w:szCs w:val="24"/>
        </w:rPr>
        <w:t>本实施细则所称董事是指在公司领取薪酬的正副董事长、董事，但不包括独立董事；高级管理人员是指董事会聘任的总经理、副总经理、总会计师</w:t>
      </w:r>
      <w:r>
        <w:rPr>
          <w:rFonts w:ascii="宋体" w:hAnsi="宋体" w:cs="宋体"/>
          <w:color w:val="000000"/>
          <w:kern w:val="0"/>
          <w:sz w:val="24"/>
          <w:szCs w:val="24"/>
        </w:rPr>
        <w:t>、</w:t>
      </w:r>
      <w:r>
        <w:rPr>
          <w:rFonts w:ascii="宋体" w:hAnsi="宋体" w:cs="宋体" w:hint="eastAsia"/>
          <w:color w:val="000000"/>
          <w:kern w:val="0"/>
          <w:sz w:val="24"/>
          <w:szCs w:val="24"/>
        </w:rPr>
        <w:t>董事会秘书及《公司章程》认定的其他高级管理人员。</w:t>
      </w:r>
    </w:p>
    <w:p w:rsidR="003F1360" w:rsidRDefault="003F1360">
      <w:pPr>
        <w:widowControl/>
        <w:spacing w:beforeLines="50" w:afterLines="50" w:line="360" w:lineRule="auto"/>
        <w:jc w:val="center"/>
        <w:rPr>
          <w:rFonts w:ascii="宋体" w:hAnsi="宋体" w:cs="宋体"/>
          <w:b/>
          <w:color w:val="000000"/>
          <w:kern w:val="0"/>
          <w:sz w:val="24"/>
          <w:szCs w:val="24"/>
        </w:rPr>
      </w:pPr>
      <w:r>
        <w:rPr>
          <w:rFonts w:ascii="宋体" w:hAnsi="宋体" w:cs="宋体" w:hint="eastAsia"/>
          <w:b/>
          <w:color w:val="000000"/>
          <w:kern w:val="0"/>
          <w:sz w:val="24"/>
          <w:szCs w:val="24"/>
        </w:rPr>
        <w:t>第二章  委员会组成</w:t>
      </w:r>
    </w:p>
    <w:p w:rsidR="003F1360" w:rsidRDefault="003F1360">
      <w:pPr>
        <w:spacing w:afterLines="25" w:line="360" w:lineRule="auto"/>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第四条</w:t>
      </w:r>
      <w:r>
        <w:rPr>
          <w:rFonts w:ascii="宋体" w:hAnsi="宋体" w:cs="宋体" w:hint="eastAsia"/>
          <w:color w:val="000000"/>
          <w:kern w:val="0"/>
          <w:sz w:val="24"/>
          <w:szCs w:val="24"/>
        </w:rPr>
        <w:t xml:space="preserve"> 薪酬与考核委员会成员由三名董事组成，其中独立董事应当</w:t>
      </w:r>
      <w:r>
        <w:rPr>
          <w:rFonts w:ascii="宋体" w:hAnsi="宋体" w:cs="宋体"/>
          <w:color w:val="000000"/>
          <w:kern w:val="0"/>
          <w:sz w:val="24"/>
          <w:szCs w:val="24"/>
        </w:rPr>
        <w:t>过半数</w:t>
      </w:r>
      <w:r>
        <w:rPr>
          <w:rFonts w:ascii="宋体" w:hAnsi="宋体" w:cs="宋体" w:hint="eastAsia"/>
          <w:color w:val="000000"/>
          <w:kern w:val="0"/>
          <w:sz w:val="24"/>
          <w:szCs w:val="24"/>
        </w:rPr>
        <w:t>。</w:t>
      </w:r>
    </w:p>
    <w:p w:rsidR="003F1360" w:rsidRDefault="003F1360">
      <w:pPr>
        <w:spacing w:afterLines="25" w:line="360" w:lineRule="auto"/>
        <w:ind w:firstLineChars="200" w:firstLine="482"/>
        <w:rPr>
          <w:rFonts w:ascii="宋体" w:hAnsi="宋体" w:cs="宋体"/>
          <w:color w:val="000000"/>
          <w:kern w:val="0"/>
          <w:sz w:val="24"/>
          <w:szCs w:val="24"/>
        </w:rPr>
      </w:pPr>
      <w:r>
        <w:rPr>
          <w:rFonts w:ascii="宋体" w:hAnsi="宋体" w:cs="宋体" w:hint="eastAsia"/>
          <w:b/>
          <w:color w:val="000000"/>
          <w:kern w:val="0"/>
          <w:sz w:val="24"/>
          <w:szCs w:val="24"/>
        </w:rPr>
        <w:t xml:space="preserve">第五条 </w:t>
      </w:r>
      <w:r>
        <w:rPr>
          <w:rFonts w:ascii="宋体" w:hAnsi="宋体" w:cs="宋体" w:hint="eastAsia"/>
          <w:color w:val="000000"/>
          <w:kern w:val="0"/>
          <w:sz w:val="24"/>
          <w:szCs w:val="24"/>
        </w:rPr>
        <w:t>薪酬与考核委员会委员由董事长、二分之一以上独立董事或者全体董事的三分之一提名，并由董事会选举产生。</w:t>
      </w:r>
    </w:p>
    <w:p w:rsidR="003F1360" w:rsidRDefault="003F1360">
      <w:pPr>
        <w:spacing w:afterLines="25" w:line="360" w:lineRule="auto"/>
        <w:ind w:firstLineChars="200" w:firstLine="482"/>
        <w:rPr>
          <w:rFonts w:ascii="宋体" w:hAnsi="宋体" w:cs="宋体"/>
          <w:color w:val="000000"/>
          <w:kern w:val="0"/>
          <w:sz w:val="24"/>
          <w:szCs w:val="24"/>
        </w:rPr>
      </w:pPr>
      <w:r>
        <w:rPr>
          <w:rFonts w:ascii="宋体" w:hAnsi="宋体" w:cs="宋体" w:hint="eastAsia"/>
          <w:b/>
          <w:color w:val="000000"/>
          <w:kern w:val="0"/>
          <w:sz w:val="24"/>
          <w:szCs w:val="24"/>
        </w:rPr>
        <w:t xml:space="preserve">第六条 </w:t>
      </w:r>
      <w:r>
        <w:rPr>
          <w:rFonts w:ascii="宋体" w:hAnsi="宋体" w:cs="宋体" w:hint="eastAsia"/>
          <w:color w:val="000000"/>
          <w:kern w:val="0"/>
          <w:sz w:val="24"/>
          <w:szCs w:val="24"/>
        </w:rPr>
        <w:t>薪酬与考核委员会设主任委员（召集人）一名，由独立董事委员担任，负责主持委员会工作，由董事会选举产生。</w:t>
      </w:r>
    </w:p>
    <w:p w:rsidR="003F1360" w:rsidRDefault="003F1360">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第七条</w:t>
      </w:r>
      <w:r>
        <w:rPr>
          <w:rFonts w:ascii="宋体" w:hAnsi="宋体" w:cs="宋体" w:hint="eastAsia"/>
          <w:color w:val="000000"/>
          <w:kern w:val="0"/>
          <w:sz w:val="24"/>
          <w:szCs w:val="24"/>
        </w:rPr>
        <w:t xml:space="preserve"> 薪酬与考核委员会任期与董事会任期一致，委员任期届满，连选可以连任。期间如有委员不再担任公司董事职务时，其委员资格自动丧失，并由委员会根据上述第</w:t>
      </w:r>
      <w:r w:rsidR="00A9739A">
        <w:rPr>
          <w:rFonts w:ascii="宋体" w:hAnsi="宋体" w:cs="宋体" w:hint="eastAsia"/>
          <w:color w:val="000000"/>
          <w:kern w:val="0"/>
          <w:sz w:val="24"/>
          <w:szCs w:val="24"/>
        </w:rPr>
        <w:t>四</w:t>
      </w:r>
      <w:r>
        <w:rPr>
          <w:rFonts w:ascii="宋体" w:hAnsi="宋体" w:cs="宋体" w:hint="eastAsia"/>
          <w:color w:val="000000"/>
          <w:kern w:val="0"/>
          <w:sz w:val="24"/>
          <w:szCs w:val="24"/>
        </w:rPr>
        <w:t>条至第</w:t>
      </w:r>
      <w:r w:rsidR="00A9739A">
        <w:rPr>
          <w:rFonts w:ascii="宋体" w:hAnsi="宋体" w:cs="宋体" w:hint="eastAsia"/>
          <w:color w:val="000000"/>
          <w:kern w:val="0"/>
          <w:sz w:val="24"/>
          <w:szCs w:val="24"/>
        </w:rPr>
        <w:t>六</w:t>
      </w:r>
      <w:r>
        <w:rPr>
          <w:rFonts w:ascii="宋体" w:hAnsi="宋体" w:cs="宋体" w:hint="eastAsia"/>
          <w:color w:val="000000"/>
          <w:kern w:val="0"/>
          <w:sz w:val="24"/>
          <w:szCs w:val="24"/>
        </w:rPr>
        <w:t>条规定补足委员人数。</w:t>
      </w:r>
    </w:p>
    <w:p w:rsidR="006215EC" w:rsidRPr="00A9739A" w:rsidRDefault="006215EC" w:rsidP="006215EC">
      <w:p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薪酬与考核</w:t>
      </w:r>
      <w:r w:rsidRPr="005F210D">
        <w:rPr>
          <w:rFonts w:ascii="宋体" w:hAnsi="宋体" w:cs="宋体" w:hint="eastAsia"/>
          <w:color w:val="000000"/>
          <w:kern w:val="0"/>
          <w:sz w:val="24"/>
          <w:szCs w:val="24"/>
        </w:rPr>
        <w:t>委员会因委员辞职或免职或其他原因而导致人数低于规定人数的三分之二时，</w:t>
      </w:r>
      <w:r w:rsidR="00A9739A" w:rsidRPr="00A9739A">
        <w:rPr>
          <w:rFonts w:ascii="宋体" w:hAnsi="宋体" w:cs="宋体" w:hint="eastAsia"/>
          <w:color w:val="000000"/>
          <w:kern w:val="0"/>
          <w:sz w:val="24"/>
          <w:szCs w:val="24"/>
        </w:rPr>
        <w:t>公司董事会应及时增补新的委员人选。</w:t>
      </w:r>
    </w:p>
    <w:p w:rsidR="003F1360" w:rsidRDefault="003F1360">
      <w:pPr>
        <w:spacing w:afterLines="25" w:line="360" w:lineRule="auto"/>
        <w:ind w:firstLineChars="200" w:firstLine="482"/>
        <w:rPr>
          <w:rFonts w:ascii="宋体" w:hAnsi="宋体" w:cs="宋体"/>
          <w:color w:val="000000"/>
          <w:kern w:val="0"/>
          <w:sz w:val="24"/>
          <w:szCs w:val="24"/>
        </w:rPr>
      </w:pPr>
      <w:r>
        <w:rPr>
          <w:rFonts w:ascii="宋体" w:hAnsi="宋体" w:cs="宋体" w:hint="eastAsia"/>
          <w:b/>
          <w:color w:val="000000"/>
          <w:kern w:val="0"/>
          <w:sz w:val="24"/>
          <w:szCs w:val="24"/>
        </w:rPr>
        <w:lastRenderedPageBreak/>
        <w:t>第八条</w:t>
      </w:r>
      <w:r>
        <w:rPr>
          <w:rFonts w:ascii="宋体" w:hAnsi="宋体" w:cs="宋体" w:hint="eastAsia"/>
          <w:color w:val="000000"/>
          <w:kern w:val="0"/>
          <w:sz w:val="24"/>
          <w:szCs w:val="24"/>
        </w:rPr>
        <w:t xml:space="preserve"> 薪酬与考核委员会下设由</w:t>
      </w:r>
      <w:r>
        <w:rPr>
          <w:rFonts w:ascii="宋体" w:hAnsi="宋体" w:cs="宋体"/>
          <w:color w:val="000000"/>
          <w:kern w:val="0"/>
          <w:sz w:val="24"/>
          <w:szCs w:val="24"/>
        </w:rPr>
        <w:t>公司</w:t>
      </w:r>
      <w:r>
        <w:rPr>
          <w:rFonts w:ascii="宋体" w:hAnsi="宋体" w:cs="宋体" w:hint="eastAsia"/>
          <w:color w:val="000000"/>
          <w:kern w:val="0"/>
          <w:sz w:val="24"/>
          <w:szCs w:val="24"/>
        </w:rPr>
        <w:t>相关</w:t>
      </w:r>
      <w:r>
        <w:rPr>
          <w:rFonts w:ascii="宋体" w:hAnsi="宋体" w:cs="宋体"/>
          <w:color w:val="000000"/>
          <w:kern w:val="0"/>
          <w:sz w:val="24"/>
          <w:szCs w:val="24"/>
        </w:rPr>
        <w:t>部门人员组成的</w:t>
      </w:r>
      <w:r>
        <w:rPr>
          <w:rFonts w:ascii="宋体" w:hAnsi="宋体" w:cs="宋体" w:hint="eastAsia"/>
          <w:color w:val="000000"/>
          <w:kern w:val="0"/>
          <w:sz w:val="24"/>
          <w:szCs w:val="24"/>
        </w:rPr>
        <w:t>工作组，专门负责提供公司有关经营方面的资料及被考评人员的有关资料，负责筹备薪酬与考核委员会会议并执行薪酬与考核委员会的有关决议。</w:t>
      </w:r>
    </w:p>
    <w:p w:rsidR="003F1360" w:rsidRDefault="003F1360">
      <w:pPr>
        <w:widowControl/>
        <w:spacing w:beforeLines="50" w:afterLines="50" w:line="360" w:lineRule="auto"/>
        <w:jc w:val="center"/>
        <w:rPr>
          <w:rFonts w:ascii="宋体" w:hAnsi="宋体" w:cs="宋体"/>
          <w:b/>
          <w:color w:val="000000"/>
          <w:kern w:val="0"/>
          <w:sz w:val="24"/>
          <w:szCs w:val="24"/>
        </w:rPr>
      </w:pPr>
      <w:r>
        <w:rPr>
          <w:rFonts w:ascii="宋体" w:hAnsi="宋体" w:cs="宋体" w:hint="eastAsia"/>
          <w:b/>
          <w:color w:val="000000"/>
          <w:kern w:val="0"/>
          <w:sz w:val="24"/>
          <w:szCs w:val="24"/>
        </w:rPr>
        <w:t>第三章  委员会职责权限</w:t>
      </w:r>
    </w:p>
    <w:p w:rsidR="003F1360" w:rsidRDefault="003F1360" w:rsidP="00B25D43">
      <w:pPr>
        <w:spacing w:line="360" w:lineRule="auto"/>
        <w:ind w:firstLineChars="200" w:firstLine="482"/>
        <w:rPr>
          <w:rFonts w:ascii="宋体" w:hAnsi="宋体" w:cs="宋体" w:hint="eastAsia"/>
          <w:b/>
          <w:color w:val="000000"/>
          <w:kern w:val="0"/>
          <w:sz w:val="24"/>
          <w:szCs w:val="24"/>
        </w:rPr>
      </w:pPr>
      <w:r>
        <w:rPr>
          <w:rFonts w:ascii="宋体" w:hAnsi="宋体" w:cs="宋体" w:hint="eastAsia"/>
          <w:b/>
          <w:color w:val="000000"/>
          <w:kern w:val="0"/>
          <w:sz w:val="24"/>
          <w:szCs w:val="24"/>
        </w:rPr>
        <w:t xml:space="preserve">第九条 </w:t>
      </w:r>
      <w:r>
        <w:rPr>
          <w:rFonts w:ascii="宋体" w:hAnsi="宋体" w:cs="宋体" w:hint="eastAsia"/>
          <w:color w:val="000000"/>
          <w:kern w:val="0"/>
          <w:sz w:val="24"/>
          <w:szCs w:val="24"/>
        </w:rPr>
        <w:t>薪酬与考核委员会负责制定董事、高级管理人员的考核标准并进行考核，制定、审查董事、高级管理人员的薪酬政策与方案，并</w:t>
      </w:r>
      <w:r>
        <w:rPr>
          <w:rFonts w:ascii="宋体" w:hAnsi="宋体" w:cs="宋体" w:hint="eastAsia"/>
          <w:bCs/>
          <w:color w:val="000000"/>
          <w:kern w:val="0"/>
          <w:sz w:val="24"/>
          <w:szCs w:val="24"/>
        </w:rPr>
        <w:t>就下列事项向董事会提出建议：</w:t>
      </w:r>
      <w:hyperlink r:id="rId7" w:history="1"/>
    </w:p>
    <w:p w:rsidR="003F1360" w:rsidRDefault="003F1360">
      <w:pPr>
        <w:spacing w:afterLines="25" w:line="360" w:lineRule="auto"/>
        <w:ind w:firstLineChars="200" w:firstLine="480"/>
        <w:rPr>
          <w:rFonts w:ascii="宋体" w:hAnsi="宋体" w:cs="宋体" w:hint="eastAsia"/>
          <w:bCs/>
          <w:color w:val="000000"/>
          <w:kern w:val="0"/>
          <w:sz w:val="24"/>
          <w:szCs w:val="24"/>
        </w:rPr>
      </w:pPr>
      <w:bookmarkStart w:id="2" w:name="tiao_28_kuan_1_xiang_1"/>
      <w:bookmarkEnd w:id="2"/>
      <w:r>
        <w:rPr>
          <w:rFonts w:ascii="宋体" w:hAnsi="宋体" w:cs="宋体" w:hint="eastAsia"/>
          <w:bCs/>
          <w:color w:val="000000"/>
          <w:kern w:val="0"/>
          <w:sz w:val="24"/>
          <w:szCs w:val="24"/>
        </w:rPr>
        <w:t>（一）董事、高级管理人员的薪酬；</w:t>
      </w:r>
      <w:hyperlink r:id="rId8" w:history="1"/>
    </w:p>
    <w:p w:rsidR="003F1360" w:rsidRDefault="003F1360">
      <w:pPr>
        <w:spacing w:afterLines="25" w:line="360" w:lineRule="auto"/>
        <w:ind w:firstLineChars="200" w:firstLine="480"/>
        <w:rPr>
          <w:rFonts w:ascii="宋体" w:hAnsi="宋体" w:cs="宋体" w:hint="eastAsia"/>
          <w:bCs/>
          <w:color w:val="000000"/>
          <w:kern w:val="0"/>
          <w:sz w:val="24"/>
          <w:szCs w:val="24"/>
        </w:rPr>
      </w:pPr>
      <w:bookmarkStart w:id="3" w:name="tiao_28_kuan_1_xiang_2"/>
      <w:bookmarkEnd w:id="3"/>
      <w:r>
        <w:rPr>
          <w:rFonts w:ascii="宋体" w:hAnsi="宋体" w:cs="宋体" w:hint="eastAsia"/>
          <w:bCs/>
          <w:color w:val="000000"/>
          <w:kern w:val="0"/>
          <w:sz w:val="24"/>
          <w:szCs w:val="24"/>
        </w:rPr>
        <w:t>（二）制定或者变更股权激励计划、员工持股计划，激励对象获授权益、行使权益条件成就；</w:t>
      </w:r>
      <w:hyperlink r:id="rId9" w:history="1"/>
    </w:p>
    <w:p w:rsidR="003F1360" w:rsidRDefault="003F1360">
      <w:pPr>
        <w:spacing w:afterLines="25" w:line="360" w:lineRule="auto"/>
        <w:ind w:firstLineChars="200" w:firstLine="480"/>
        <w:rPr>
          <w:rFonts w:ascii="宋体" w:hAnsi="宋体" w:cs="宋体" w:hint="eastAsia"/>
          <w:bCs/>
          <w:color w:val="000000"/>
          <w:kern w:val="0"/>
          <w:sz w:val="24"/>
          <w:szCs w:val="24"/>
        </w:rPr>
      </w:pPr>
      <w:bookmarkStart w:id="4" w:name="tiao_28_kuan_1_xiang_3"/>
      <w:bookmarkEnd w:id="4"/>
      <w:r>
        <w:rPr>
          <w:rFonts w:ascii="宋体" w:hAnsi="宋体" w:cs="宋体" w:hint="eastAsia"/>
          <w:bCs/>
          <w:color w:val="000000"/>
          <w:kern w:val="0"/>
          <w:sz w:val="24"/>
          <w:szCs w:val="24"/>
        </w:rPr>
        <w:t>（三）董事、高级管理人员在拟分拆所属子公司安排持股计划；</w:t>
      </w:r>
      <w:hyperlink r:id="rId10" w:history="1"/>
    </w:p>
    <w:p w:rsidR="003F1360" w:rsidRDefault="003F1360">
      <w:pPr>
        <w:spacing w:afterLines="25" w:line="360" w:lineRule="auto"/>
        <w:ind w:firstLineChars="200" w:firstLine="480"/>
        <w:rPr>
          <w:rFonts w:ascii="宋体" w:hAnsi="宋体" w:cs="宋体" w:hint="eastAsia"/>
          <w:bCs/>
          <w:color w:val="000000"/>
          <w:kern w:val="0"/>
          <w:sz w:val="24"/>
          <w:szCs w:val="24"/>
        </w:rPr>
      </w:pPr>
      <w:bookmarkStart w:id="5" w:name="tiao_28_kuan_1_xiang_4"/>
      <w:bookmarkEnd w:id="5"/>
      <w:r>
        <w:rPr>
          <w:rFonts w:ascii="宋体" w:hAnsi="宋体" w:cs="宋体" w:hint="eastAsia"/>
          <w:bCs/>
          <w:color w:val="000000"/>
          <w:kern w:val="0"/>
          <w:sz w:val="24"/>
          <w:szCs w:val="24"/>
        </w:rPr>
        <w:t>（四）法律、行政法规、中国证监会规定和《公司章程》规定的其他事项。</w:t>
      </w:r>
      <w:hyperlink r:id="rId11" w:history="1"/>
    </w:p>
    <w:p w:rsidR="003F1360" w:rsidRDefault="003F1360">
      <w:pPr>
        <w:spacing w:afterLines="25" w:line="360" w:lineRule="auto"/>
        <w:ind w:firstLineChars="200" w:firstLine="480"/>
        <w:rPr>
          <w:rFonts w:ascii="宋体" w:hAnsi="宋体" w:cs="宋体"/>
          <w:b/>
          <w:color w:val="000000"/>
          <w:kern w:val="0"/>
          <w:sz w:val="24"/>
          <w:szCs w:val="24"/>
        </w:rPr>
      </w:pPr>
      <w:bookmarkStart w:id="6" w:name="tiao_28_kuan_2"/>
      <w:bookmarkEnd w:id="6"/>
      <w:r>
        <w:rPr>
          <w:rFonts w:ascii="宋体" w:hAnsi="宋体" w:cs="宋体" w:hint="eastAsia"/>
          <w:bCs/>
          <w:color w:val="000000"/>
          <w:kern w:val="0"/>
          <w:sz w:val="24"/>
          <w:szCs w:val="24"/>
        </w:rPr>
        <w:t>董事会对薪酬与考核委员会的建议未采纳或者未完全采纳的，应当在董事会决议中记载薪酬与考核委员会的意见及未采纳的具体理由，并进行披露。</w:t>
      </w:r>
    </w:p>
    <w:p w:rsidR="003F1360" w:rsidRDefault="003F1360">
      <w:pPr>
        <w:spacing w:afterLines="25" w:line="360" w:lineRule="auto"/>
        <w:ind w:firstLineChars="200" w:firstLine="482"/>
        <w:rPr>
          <w:rFonts w:ascii="宋体" w:hAnsi="宋体" w:cs="宋体"/>
          <w:color w:val="000000"/>
          <w:kern w:val="0"/>
          <w:sz w:val="24"/>
          <w:szCs w:val="24"/>
        </w:rPr>
      </w:pPr>
      <w:r>
        <w:rPr>
          <w:rFonts w:ascii="宋体" w:hAnsi="宋体" w:cs="宋体" w:hint="eastAsia"/>
          <w:b/>
          <w:color w:val="000000"/>
          <w:kern w:val="0"/>
          <w:sz w:val="24"/>
          <w:szCs w:val="24"/>
        </w:rPr>
        <w:t>第十条</w:t>
      </w:r>
      <w:r>
        <w:rPr>
          <w:rFonts w:ascii="宋体" w:hAnsi="宋体" w:cs="宋体" w:hint="eastAsia"/>
          <w:color w:val="000000"/>
          <w:kern w:val="0"/>
          <w:sz w:val="24"/>
          <w:szCs w:val="24"/>
        </w:rPr>
        <w:t xml:space="preserve"> 董事会有权否决损害股东利益的薪酬计划或方案。</w:t>
      </w:r>
    </w:p>
    <w:p w:rsidR="003F1360" w:rsidRDefault="003F1360">
      <w:pPr>
        <w:spacing w:afterLines="25" w:line="360" w:lineRule="auto"/>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 xml:space="preserve">第十一条 </w:t>
      </w:r>
      <w:r>
        <w:rPr>
          <w:rFonts w:ascii="宋体" w:hAnsi="宋体" w:cs="宋体" w:hint="eastAsia"/>
          <w:color w:val="000000"/>
          <w:kern w:val="0"/>
          <w:sz w:val="24"/>
          <w:szCs w:val="24"/>
        </w:rPr>
        <w:t>薪酬与考核委员会提出的公司董事的薪酬计划，须报经董事会同意后，提交股东大会审议通过后方可实施；公司高级管理人员的薪酬分配方案须报董事会批准。</w:t>
      </w:r>
    </w:p>
    <w:p w:rsidR="003F1360" w:rsidRDefault="003F1360">
      <w:pPr>
        <w:widowControl/>
        <w:spacing w:beforeLines="50" w:afterLines="50" w:line="360" w:lineRule="auto"/>
        <w:jc w:val="center"/>
        <w:rPr>
          <w:rFonts w:ascii="宋体" w:hAnsi="宋体" w:cs="宋体"/>
          <w:b/>
          <w:color w:val="000000"/>
          <w:kern w:val="0"/>
          <w:sz w:val="24"/>
          <w:szCs w:val="24"/>
        </w:rPr>
      </w:pPr>
      <w:r>
        <w:rPr>
          <w:rFonts w:ascii="宋体" w:hAnsi="宋体" w:cs="宋体" w:hint="eastAsia"/>
          <w:b/>
          <w:color w:val="000000"/>
          <w:kern w:val="0"/>
          <w:sz w:val="24"/>
          <w:szCs w:val="24"/>
        </w:rPr>
        <w:t>第四章  决策程序</w:t>
      </w:r>
    </w:p>
    <w:p w:rsidR="003F1360" w:rsidRDefault="003F1360">
      <w:pPr>
        <w:spacing w:line="360" w:lineRule="auto"/>
        <w:ind w:firstLineChars="200" w:firstLine="482"/>
        <w:rPr>
          <w:rFonts w:ascii="宋体" w:hAnsi="宋体" w:cs="宋体"/>
          <w:color w:val="000000"/>
          <w:kern w:val="0"/>
          <w:sz w:val="24"/>
          <w:szCs w:val="24"/>
        </w:rPr>
      </w:pPr>
      <w:r>
        <w:rPr>
          <w:rFonts w:ascii="宋体" w:hAnsi="宋体" w:cs="宋体" w:hint="eastAsia"/>
          <w:b/>
          <w:color w:val="000000"/>
          <w:kern w:val="0"/>
          <w:sz w:val="24"/>
          <w:szCs w:val="24"/>
        </w:rPr>
        <w:t xml:space="preserve">第十二条 </w:t>
      </w:r>
      <w:r>
        <w:rPr>
          <w:rFonts w:ascii="宋体" w:hAnsi="宋体" w:cs="宋体" w:hint="eastAsia"/>
          <w:color w:val="000000"/>
          <w:kern w:val="0"/>
          <w:sz w:val="24"/>
          <w:szCs w:val="24"/>
        </w:rPr>
        <w:t>薪酬与考核委员会下设的工作组负责做好薪酬与考核委员会决策的前期准备工作，提供公司有关方面的资料：</w:t>
      </w:r>
    </w:p>
    <w:p w:rsidR="003F1360" w:rsidRDefault="003F1360">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（一）提供公司主要财务指标和经营目标完成情况；</w:t>
      </w:r>
    </w:p>
    <w:p w:rsidR="003F1360" w:rsidRDefault="003F1360">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（二）公司高级管理人员分管工作范围及主要职责情况；</w:t>
      </w:r>
    </w:p>
    <w:p w:rsidR="003F1360" w:rsidRDefault="003F1360">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（三）提供董事和高级管理人员岗位工作业绩考评系统中涉及指标的完成情况；</w:t>
      </w:r>
    </w:p>
    <w:p w:rsidR="003F1360" w:rsidRDefault="003F1360">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（四）提供董事和高级管理人员的业务创新能力和创利能力的经营绩效情况；</w:t>
      </w:r>
    </w:p>
    <w:p w:rsidR="003F1360" w:rsidRDefault="003F1360">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（五）提供按公司业绩拟定公司薪酬分配规划和分配方式的有关测算依据。</w:t>
      </w:r>
    </w:p>
    <w:p w:rsidR="003F1360" w:rsidRDefault="003F1360">
      <w:pPr>
        <w:spacing w:line="360" w:lineRule="auto"/>
        <w:ind w:firstLineChars="200" w:firstLine="482"/>
        <w:rPr>
          <w:rFonts w:ascii="宋体" w:hAnsi="宋体" w:cs="宋体"/>
          <w:color w:val="000000"/>
          <w:kern w:val="0"/>
          <w:sz w:val="24"/>
          <w:szCs w:val="24"/>
        </w:rPr>
      </w:pPr>
      <w:r>
        <w:rPr>
          <w:rFonts w:ascii="宋体" w:hAnsi="宋体" w:cs="宋体" w:hint="eastAsia"/>
          <w:b/>
          <w:color w:val="000000"/>
          <w:kern w:val="0"/>
          <w:sz w:val="24"/>
          <w:szCs w:val="24"/>
        </w:rPr>
        <w:t xml:space="preserve">第十三条 </w:t>
      </w:r>
      <w:r>
        <w:rPr>
          <w:rFonts w:ascii="宋体" w:hAnsi="宋体" w:cs="宋体" w:hint="eastAsia"/>
          <w:color w:val="000000"/>
          <w:kern w:val="0"/>
          <w:sz w:val="24"/>
          <w:szCs w:val="24"/>
        </w:rPr>
        <w:t>薪酬与考核委员会对董事和高级管理人员的考评程序如下：</w:t>
      </w:r>
    </w:p>
    <w:p w:rsidR="003F1360" w:rsidRDefault="003F1360">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lastRenderedPageBreak/>
        <w:t>（一）公司董事和高级管理人员向薪酬与考核委员会作述职和自我评价；</w:t>
      </w:r>
    </w:p>
    <w:p w:rsidR="003F1360" w:rsidRDefault="003F1360">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（二）薪酬与考核委员会按绩效评价标准和程序，对董事和高级管理人员进行绩效评价；</w:t>
      </w:r>
    </w:p>
    <w:p w:rsidR="003F1360" w:rsidRDefault="003F1360">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（三）根据岗位绩效评价结果及薪酬分配政策提出董事和高级管理人员的报酬数额和奖励方式，表决通过后报公司董事会。</w:t>
      </w:r>
    </w:p>
    <w:p w:rsidR="003F1360" w:rsidRDefault="003F1360">
      <w:pPr>
        <w:widowControl/>
        <w:spacing w:beforeLines="50" w:afterLines="50" w:line="360" w:lineRule="auto"/>
        <w:jc w:val="center"/>
        <w:rPr>
          <w:rFonts w:ascii="宋体" w:hAnsi="宋体" w:cs="宋体"/>
          <w:b/>
          <w:color w:val="000000"/>
          <w:kern w:val="0"/>
          <w:sz w:val="24"/>
          <w:szCs w:val="24"/>
        </w:rPr>
      </w:pPr>
      <w:r>
        <w:rPr>
          <w:rFonts w:ascii="宋体" w:hAnsi="宋体" w:cs="宋体" w:hint="eastAsia"/>
          <w:b/>
          <w:color w:val="000000"/>
          <w:kern w:val="0"/>
          <w:sz w:val="24"/>
          <w:szCs w:val="24"/>
        </w:rPr>
        <w:t>第五章  议事规则</w:t>
      </w:r>
    </w:p>
    <w:p w:rsidR="003F1360" w:rsidRDefault="003F1360">
      <w:pPr>
        <w:spacing w:line="360" w:lineRule="auto"/>
        <w:ind w:firstLineChars="200" w:firstLine="482"/>
        <w:rPr>
          <w:rFonts w:ascii="宋体" w:hAnsi="宋体" w:cs="宋体"/>
          <w:color w:val="000000"/>
          <w:kern w:val="0"/>
          <w:sz w:val="24"/>
          <w:szCs w:val="24"/>
        </w:rPr>
      </w:pPr>
      <w:r>
        <w:rPr>
          <w:rFonts w:ascii="宋体" w:hAnsi="宋体" w:cs="宋体" w:hint="eastAsia"/>
          <w:b/>
          <w:color w:val="000000"/>
          <w:kern w:val="0"/>
          <w:sz w:val="24"/>
          <w:szCs w:val="24"/>
        </w:rPr>
        <w:t xml:space="preserve">第十四条 </w:t>
      </w:r>
      <w:r w:rsidRPr="009B4973">
        <w:rPr>
          <w:rFonts w:ascii="宋体" w:hAnsi="宋体" w:cs="宋体" w:hint="eastAsia"/>
          <w:color w:val="000000"/>
          <w:kern w:val="0"/>
          <w:sz w:val="24"/>
          <w:szCs w:val="24"/>
        </w:rPr>
        <w:t>薪酬与考核委员会根据工作</w:t>
      </w:r>
      <w:r w:rsidRPr="009B4973">
        <w:rPr>
          <w:rFonts w:ascii="宋体" w:hAnsi="宋体" w:cs="宋体"/>
          <w:color w:val="000000"/>
          <w:kern w:val="0"/>
          <w:sz w:val="24"/>
          <w:szCs w:val="24"/>
        </w:rPr>
        <w:t>需要不定期召开会议</w:t>
      </w:r>
      <w:r w:rsidRPr="009B4973">
        <w:rPr>
          <w:rFonts w:ascii="宋体" w:hAnsi="宋体" w:cs="宋体" w:hint="eastAsia"/>
          <w:color w:val="000000"/>
          <w:kern w:val="0"/>
          <w:sz w:val="24"/>
          <w:szCs w:val="24"/>
        </w:rPr>
        <w:t>。正常</w:t>
      </w:r>
      <w:r>
        <w:rPr>
          <w:rFonts w:ascii="宋体" w:hAnsi="宋体" w:cs="宋体"/>
          <w:color w:val="000000"/>
          <w:kern w:val="0"/>
          <w:sz w:val="24"/>
          <w:szCs w:val="24"/>
        </w:rPr>
        <w:t>情况下，会议召开</w:t>
      </w:r>
      <w:r>
        <w:rPr>
          <w:rFonts w:ascii="宋体" w:hAnsi="宋体" w:cs="宋体" w:hint="eastAsia"/>
          <w:color w:val="000000"/>
          <w:kern w:val="0"/>
          <w:sz w:val="24"/>
          <w:szCs w:val="24"/>
        </w:rPr>
        <w:t>3日</w:t>
      </w:r>
      <w:r>
        <w:rPr>
          <w:rFonts w:ascii="宋体" w:hAnsi="宋体" w:cs="宋体"/>
          <w:color w:val="000000"/>
          <w:kern w:val="0"/>
          <w:sz w:val="24"/>
          <w:szCs w:val="24"/>
        </w:rPr>
        <w:t>前</w:t>
      </w:r>
      <w:r>
        <w:rPr>
          <w:rFonts w:ascii="宋体" w:hAnsi="宋体" w:cs="宋体" w:hint="eastAsia"/>
          <w:color w:val="000000"/>
          <w:kern w:val="0"/>
          <w:sz w:val="24"/>
          <w:szCs w:val="24"/>
        </w:rPr>
        <w:t>通知（以</w:t>
      </w:r>
      <w:r>
        <w:rPr>
          <w:rFonts w:ascii="宋体" w:hAnsi="宋体" w:cs="宋体" w:hint="eastAsia"/>
          <w:kern w:val="0"/>
          <w:sz w:val="24"/>
          <w:szCs w:val="24"/>
        </w:rPr>
        <w:t>电子邮件、</w:t>
      </w:r>
      <w:r>
        <w:rPr>
          <w:rFonts w:ascii="宋体" w:hAnsi="宋体" w:cs="宋体"/>
          <w:kern w:val="0"/>
          <w:sz w:val="24"/>
          <w:szCs w:val="24"/>
        </w:rPr>
        <w:t>电话</w:t>
      </w:r>
      <w:r>
        <w:rPr>
          <w:rFonts w:ascii="宋体" w:hAnsi="宋体" w:cs="宋体" w:hint="eastAsia"/>
          <w:kern w:val="0"/>
          <w:sz w:val="24"/>
          <w:szCs w:val="24"/>
        </w:rPr>
        <w:t>、短信</w:t>
      </w:r>
      <w:r>
        <w:rPr>
          <w:rFonts w:ascii="宋体" w:hAnsi="宋体" w:cs="宋体"/>
          <w:kern w:val="0"/>
          <w:sz w:val="24"/>
          <w:szCs w:val="24"/>
        </w:rPr>
        <w:t>、</w:t>
      </w:r>
      <w:r>
        <w:rPr>
          <w:rFonts w:ascii="宋体" w:hAnsi="宋体" w:cs="宋体" w:hint="eastAsia"/>
          <w:kern w:val="0"/>
          <w:sz w:val="24"/>
          <w:szCs w:val="24"/>
        </w:rPr>
        <w:t>专人送达等方式</w:t>
      </w:r>
      <w:r>
        <w:rPr>
          <w:rFonts w:ascii="宋体" w:hAnsi="宋体" w:cs="宋体"/>
          <w:color w:val="000000"/>
          <w:kern w:val="0"/>
          <w:sz w:val="24"/>
          <w:szCs w:val="24"/>
        </w:rPr>
        <w:t>）</w:t>
      </w:r>
      <w:r>
        <w:rPr>
          <w:rFonts w:ascii="宋体" w:hAnsi="宋体" w:cs="宋体" w:hint="eastAsia"/>
          <w:color w:val="000000"/>
          <w:kern w:val="0"/>
          <w:sz w:val="24"/>
          <w:szCs w:val="24"/>
        </w:rPr>
        <w:t>全体委员。情况紧急，需要尽快召开临时会议的，可以随时通过电话或者其他口头方式发出会议通知，但召集人应当在会议上作出说明。会议由主任委员主持，主任委员不能出席时可委托其他一名独立董事委员主持。</w:t>
      </w:r>
    </w:p>
    <w:p w:rsidR="003F1360" w:rsidRDefault="003F1360">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 xml:space="preserve">第十五条 </w:t>
      </w:r>
      <w:r>
        <w:rPr>
          <w:rFonts w:ascii="宋体" w:hAnsi="宋体" w:cs="宋体" w:hint="eastAsia"/>
          <w:color w:val="000000"/>
          <w:kern w:val="0"/>
          <w:sz w:val="24"/>
          <w:szCs w:val="24"/>
        </w:rPr>
        <w:t>薪酬与考核委员会会议应由三分之二以上的委员出席方可举行；每一名委员有一票的表决权；会议做出的决议，必须经全体委员过半数通过。</w:t>
      </w:r>
    </w:p>
    <w:p w:rsidR="003F1360" w:rsidRDefault="003F1360">
      <w:pPr>
        <w:spacing w:line="360" w:lineRule="auto"/>
        <w:ind w:firstLineChars="200" w:firstLine="482"/>
        <w:rPr>
          <w:rFonts w:ascii="宋体" w:hAnsi="宋体" w:cs="宋体" w:hint="eastAsia"/>
          <w:color w:val="000000"/>
          <w:kern w:val="0"/>
          <w:sz w:val="24"/>
          <w:szCs w:val="24"/>
        </w:rPr>
      </w:pPr>
      <w:r>
        <w:rPr>
          <w:rFonts w:ascii="宋体" w:hAnsi="宋体" w:cs="宋体" w:hint="eastAsia"/>
          <w:b/>
          <w:color w:val="000000"/>
          <w:kern w:val="0"/>
          <w:sz w:val="24"/>
          <w:szCs w:val="24"/>
        </w:rPr>
        <w:t>第十六条</w:t>
      </w:r>
      <w:r>
        <w:rPr>
          <w:rFonts w:ascii="宋体" w:hAnsi="宋体" w:cs="宋体" w:hint="eastAsia"/>
          <w:color w:val="000000"/>
          <w:kern w:val="0"/>
          <w:sz w:val="24"/>
          <w:szCs w:val="24"/>
        </w:rPr>
        <w:t xml:space="preserve"> 薪酬与考核委员会以现场召开为原则，在保证全体参会人员能够充分沟通并表达意见的前提下，必要时可以依照程序采取视频、电话或其他方式召开。</w:t>
      </w:r>
    </w:p>
    <w:p w:rsidR="003F1360" w:rsidRDefault="003F1360">
      <w:pPr>
        <w:numPr>
          <w:ilvl w:val="0"/>
          <w:numId w:val="1"/>
        </w:numPr>
        <w:spacing w:line="360" w:lineRule="auto"/>
        <w:ind w:firstLineChars="200" w:firstLine="480"/>
        <w:rPr>
          <w:rFonts w:ascii="宋体" w:hAnsi="宋体" w:cs="宋体" w:hint="eastAsia"/>
          <w:color w:val="000000"/>
          <w:kern w:val="0"/>
          <w:sz w:val="24"/>
          <w:szCs w:val="24"/>
        </w:rPr>
      </w:pPr>
      <w:r>
        <w:rPr>
          <w:rFonts w:ascii="宋体" w:hAnsi="宋体" w:cs="宋体" w:hint="eastAsia"/>
          <w:color w:val="000000"/>
          <w:kern w:val="0"/>
          <w:sz w:val="24"/>
          <w:szCs w:val="24"/>
        </w:rPr>
        <w:t>提名委员会会议表决方式为举手表决或投票表决，会议可采取通讯表决的方式，表决后需在会议决议上签字确认。</w:t>
      </w:r>
    </w:p>
    <w:p w:rsidR="003F1360" w:rsidRDefault="003F1360">
      <w:pPr>
        <w:numPr>
          <w:ilvl w:val="0"/>
          <w:numId w:val="1"/>
        </w:num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薪酬与考核</w:t>
      </w:r>
      <w:r>
        <w:rPr>
          <w:rFonts w:ascii="宋体" w:hAnsi="宋体" w:cs="宋体"/>
          <w:color w:val="000000"/>
          <w:kern w:val="0"/>
          <w:sz w:val="24"/>
          <w:szCs w:val="24"/>
        </w:rPr>
        <w:t>委员会成员应当亲自出席会议，并对审议事项表达明确的意见。委员因故不能亲自出席会议时，应当事先审阅会议材料，形成明确的意见，并书面委托其他委员代为出席并发表意见。授权委托书须明确授权范围和期限。每一名委员最多接受一名委员委托。独立董事委员因故不能亲自出席会议的，应委托其他独立董事委员代为出席。</w:t>
      </w:r>
    </w:p>
    <w:p w:rsidR="003F1360" w:rsidRDefault="003F1360">
      <w:pPr>
        <w:numPr>
          <w:ilvl w:val="0"/>
          <w:numId w:val="1"/>
        </w:num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薪酬与考核委员会委员既不亲自出席会议，也未委托其他委员代为出席的，视为未出席相关会议。连续两次无故不出席会议的，视为不能履行其职权，公司董事会可以撤销其委员职务。</w:t>
      </w:r>
    </w:p>
    <w:p w:rsidR="003F1360" w:rsidRDefault="003F1360">
      <w:pPr>
        <w:numPr>
          <w:ilvl w:val="0"/>
          <w:numId w:val="1"/>
        </w:numPr>
        <w:spacing w:line="360" w:lineRule="auto"/>
        <w:ind w:firstLineChars="200" w:firstLine="480"/>
        <w:rPr>
          <w:rFonts w:ascii="宋体" w:hAnsi="宋体" w:cs="宋体" w:hint="eastAsia"/>
          <w:bCs/>
          <w:color w:val="000000"/>
          <w:kern w:val="0"/>
          <w:sz w:val="24"/>
          <w:szCs w:val="24"/>
        </w:rPr>
      </w:pPr>
      <w:r>
        <w:rPr>
          <w:rFonts w:ascii="宋体" w:hAnsi="宋体" w:cs="宋体" w:hint="eastAsia"/>
          <w:bCs/>
          <w:color w:val="000000"/>
          <w:kern w:val="0"/>
          <w:sz w:val="24"/>
          <w:szCs w:val="24"/>
        </w:rPr>
        <w:t xml:space="preserve"> 薪酬与考核委员会会议必要时可以邀请公司董事、监事及其他高级管理人员列席会议。</w:t>
      </w:r>
    </w:p>
    <w:p w:rsidR="003F1360" w:rsidRDefault="003F1360">
      <w:pPr>
        <w:numPr>
          <w:ilvl w:val="0"/>
          <w:numId w:val="1"/>
        </w:numPr>
        <w:spacing w:line="360" w:lineRule="auto"/>
        <w:ind w:firstLineChars="200" w:firstLine="480"/>
        <w:rPr>
          <w:rFonts w:ascii="宋体" w:hAnsi="宋体" w:cs="宋体" w:hint="eastAsia"/>
          <w:bCs/>
          <w:color w:val="000000"/>
          <w:kern w:val="0"/>
          <w:sz w:val="24"/>
          <w:szCs w:val="24"/>
        </w:rPr>
      </w:pPr>
      <w:r>
        <w:rPr>
          <w:rFonts w:ascii="宋体" w:hAnsi="宋体" w:cs="宋体" w:hint="eastAsia"/>
          <w:bCs/>
          <w:color w:val="000000"/>
          <w:kern w:val="0"/>
          <w:sz w:val="24"/>
          <w:szCs w:val="24"/>
        </w:rPr>
        <w:t>如有必要，薪酬与考核委员会可以聘请中介机构为其决策提供专业意见，相关费用由公司支付。</w:t>
      </w:r>
    </w:p>
    <w:p w:rsidR="003F1360" w:rsidRDefault="003F1360">
      <w:pPr>
        <w:numPr>
          <w:ilvl w:val="0"/>
          <w:numId w:val="1"/>
        </w:numPr>
        <w:spacing w:line="360" w:lineRule="auto"/>
        <w:ind w:firstLineChars="200" w:firstLine="480"/>
        <w:rPr>
          <w:rFonts w:ascii="宋体" w:hAnsi="宋体" w:cs="宋体" w:hint="eastAsia"/>
          <w:bCs/>
          <w:color w:val="000000"/>
          <w:kern w:val="0"/>
          <w:sz w:val="24"/>
          <w:szCs w:val="24"/>
        </w:rPr>
      </w:pPr>
      <w:r>
        <w:rPr>
          <w:rFonts w:ascii="宋体" w:hAnsi="宋体" w:cs="宋体" w:hint="eastAsia"/>
          <w:bCs/>
          <w:color w:val="000000"/>
          <w:kern w:val="0"/>
          <w:sz w:val="24"/>
          <w:szCs w:val="24"/>
        </w:rPr>
        <w:lastRenderedPageBreak/>
        <w:t xml:space="preserve"> 薪酬与考核委员会会议讨论有关委员会成员的议题时，相关当事人应回避。</w:t>
      </w:r>
    </w:p>
    <w:p w:rsidR="003F1360" w:rsidRDefault="003F1360">
      <w:pPr>
        <w:numPr>
          <w:ilvl w:val="0"/>
          <w:numId w:val="1"/>
        </w:numPr>
        <w:spacing w:line="360" w:lineRule="auto"/>
        <w:ind w:firstLineChars="200" w:firstLine="480"/>
        <w:rPr>
          <w:rFonts w:ascii="宋体" w:hAnsi="宋体" w:cs="宋体" w:hint="eastAsia"/>
          <w:bCs/>
          <w:color w:val="000000"/>
          <w:kern w:val="0"/>
          <w:sz w:val="24"/>
          <w:szCs w:val="24"/>
        </w:rPr>
      </w:pPr>
      <w:r>
        <w:rPr>
          <w:rFonts w:ascii="宋体" w:hAnsi="宋体" w:cs="宋体" w:hint="eastAsia"/>
          <w:bCs/>
          <w:color w:val="000000"/>
          <w:kern w:val="0"/>
          <w:sz w:val="24"/>
          <w:szCs w:val="24"/>
        </w:rPr>
        <w:t xml:space="preserve"> 薪酬与考核委员会会议的召开程序、表决方式和会议通过的薪酬政策与分配方案必须遵循有关法律、法规、《公司章程》及本实施细则的规定。</w:t>
      </w:r>
    </w:p>
    <w:p w:rsidR="003F1360" w:rsidRDefault="003F1360">
      <w:pPr>
        <w:numPr>
          <w:ilvl w:val="0"/>
          <w:numId w:val="1"/>
        </w:numPr>
        <w:spacing w:line="360" w:lineRule="auto"/>
        <w:ind w:firstLineChars="200" w:firstLine="480"/>
        <w:rPr>
          <w:rFonts w:ascii="宋体" w:hAnsi="宋体" w:cs="宋体" w:hint="eastAsia"/>
          <w:bCs/>
          <w:color w:val="000000"/>
          <w:kern w:val="0"/>
          <w:sz w:val="24"/>
          <w:szCs w:val="24"/>
        </w:rPr>
      </w:pPr>
      <w:r>
        <w:rPr>
          <w:rFonts w:ascii="宋体" w:hAnsi="宋体" w:cs="宋体" w:hint="eastAsia"/>
          <w:bCs/>
          <w:color w:val="000000"/>
          <w:kern w:val="0"/>
          <w:sz w:val="24"/>
          <w:szCs w:val="24"/>
        </w:rPr>
        <w:t xml:space="preserve"> 薪酬与考核委员会会议应当按规定制作会议记录，出席会议的委员应当在会议记录上签名；会议记录由公司董事会办公室保存，保存期限十年。</w:t>
      </w:r>
    </w:p>
    <w:p w:rsidR="003F1360" w:rsidRDefault="003F1360">
      <w:pPr>
        <w:numPr>
          <w:ilvl w:val="0"/>
          <w:numId w:val="1"/>
        </w:numPr>
        <w:spacing w:line="360" w:lineRule="auto"/>
        <w:ind w:firstLineChars="200" w:firstLine="480"/>
        <w:rPr>
          <w:rFonts w:ascii="宋体" w:hAnsi="宋体" w:cs="宋体" w:hint="eastAsia"/>
          <w:bCs/>
          <w:color w:val="000000"/>
          <w:kern w:val="0"/>
          <w:sz w:val="24"/>
          <w:szCs w:val="24"/>
        </w:rPr>
      </w:pPr>
      <w:r>
        <w:rPr>
          <w:rFonts w:ascii="宋体" w:hAnsi="宋体" w:cs="宋体" w:hint="eastAsia"/>
          <w:bCs/>
          <w:color w:val="000000"/>
          <w:kern w:val="0"/>
          <w:sz w:val="24"/>
          <w:szCs w:val="24"/>
        </w:rPr>
        <w:t>薪酬与考核委员会会议通过的议案及表决结果，应以书面形式报公司董事会。</w:t>
      </w:r>
    </w:p>
    <w:p w:rsidR="003F1360" w:rsidRDefault="003F1360">
      <w:pPr>
        <w:numPr>
          <w:ilvl w:val="0"/>
          <w:numId w:val="1"/>
        </w:numPr>
        <w:spacing w:line="360" w:lineRule="auto"/>
        <w:ind w:firstLineChars="200" w:firstLine="480"/>
        <w:rPr>
          <w:rFonts w:ascii="宋体" w:hAnsi="宋体" w:cs="宋体" w:hint="eastAsia"/>
          <w:bCs/>
          <w:color w:val="000000"/>
          <w:kern w:val="0"/>
          <w:sz w:val="24"/>
          <w:szCs w:val="24"/>
        </w:rPr>
      </w:pPr>
      <w:r>
        <w:rPr>
          <w:rFonts w:ascii="宋体" w:hAnsi="宋体" w:cs="宋体" w:hint="eastAsia"/>
          <w:bCs/>
          <w:color w:val="000000"/>
          <w:kern w:val="0"/>
          <w:sz w:val="24"/>
          <w:szCs w:val="24"/>
        </w:rPr>
        <w:t>出席会议的委员、会议列席人员、记录人员均对会议所议事项有保密义务，不得擅自披露有关信息。</w:t>
      </w:r>
    </w:p>
    <w:p w:rsidR="003F1360" w:rsidRDefault="003F1360">
      <w:pPr>
        <w:widowControl/>
        <w:spacing w:beforeLines="50" w:afterLines="50" w:line="360" w:lineRule="auto"/>
        <w:jc w:val="center"/>
        <w:rPr>
          <w:rFonts w:ascii="宋体" w:hAnsi="宋体" w:cs="宋体"/>
          <w:b/>
          <w:color w:val="000000"/>
          <w:kern w:val="0"/>
          <w:sz w:val="24"/>
          <w:szCs w:val="24"/>
        </w:rPr>
      </w:pPr>
      <w:r>
        <w:rPr>
          <w:rFonts w:ascii="宋体" w:hAnsi="宋体" w:cs="宋体" w:hint="eastAsia"/>
          <w:b/>
          <w:color w:val="000000"/>
          <w:kern w:val="0"/>
          <w:sz w:val="24"/>
          <w:szCs w:val="24"/>
        </w:rPr>
        <w:t>第六章  附则</w:t>
      </w:r>
    </w:p>
    <w:p w:rsidR="003F1360" w:rsidRDefault="003F1360">
      <w:pPr>
        <w:numPr>
          <w:ilvl w:val="0"/>
          <w:numId w:val="1"/>
        </w:numPr>
        <w:spacing w:line="360" w:lineRule="auto"/>
        <w:ind w:firstLineChars="200" w:firstLine="482"/>
        <w:rPr>
          <w:rFonts w:ascii="宋体" w:hAnsi="宋体" w:cs="宋体" w:hint="eastAsia"/>
          <w:b/>
          <w:color w:val="000000"/>
          <w:kern w:val="0"/>
          <w:sz w:val="24"/>
          <w:szCs w:val="24"/>
        </w:rPr>
      </w:pPr>
      <w:r>
        <w:rPr>
          <w:rFonts w:ascii="宋体" w:hAnsi="宋体" w:cs="宋体" w:hint="eastAsia"/>
          <w:b/>
          <w:color w:val="000000"/>
          <w:kern w:val="0"/>
          <w:sz w:val="24"/>
          <w:szCs w:val="24"/>
        </w:rPr>
        <w:t xml:space="preserve"> </w:t>
      </w:r>
      <w:r>
        <w:rPr>
          <w:rFonts w:ascii="宋体" w:hAnsi="宋体" w:cs="宋体" w:hint="eastAsia"/>
          <w:bCs/>
          <w:color w:val="000000"/>
          <w:kern w:val="0"/>
          <w:sz w:val="24"/>
          <w:szCs w:val="24"/>
        </w:rPr>
        <w:t>本实施细则未尽事宜，按国家有关法律、法规、《公司章程》及其他有关规定执行；本实施细则如与国家日后颁布的法律、法规或经合法程序修改后的《公司章程》及其他有关规定相抵触时，按国家有关法律、法规、《公司章程》及其他有关规定执行，并应及时修订，报董事会审议通过。</w:t>
      </w:r>
    </w:p>
    <w:p w:rsidR="003F1360" w:rsidRDefault="003F1360">
      <w:pPr>
        <w:numPr>
          <w:ilvl w:val="0"/>
          <w:numId w:val="1"/>
        </w:numPr>
        <w:spacing w:line="360" w:lineRule="auto"/>
        <w:ind w:firstLineChars="200" w:firstLine="482"/>
        <w:rPr>
          <w:rFonts w:ascii="宋体" w:hAnsi="宋体" w:cs="宋体" w:hint="eastAsia"/>
          <w:bCs/>
          <w:color w:val="000000"/>
          <w:kern w:val="0"/>
          <w:sz w:val="24"/>
          <w:szCs w:val="24"/>
        </w:rPr>
      </w:pPr>
      <w:r>
        <w:rPr>
          <w:rFonts w:ascii="宋体" w:hAnsi="宋体" w:cs="宋体" w:hint="eastAsia"/>
          <w:b/>
          <w:color w:val="000000"/>
          <w:kern w:val="0"/>
          <w:sz w:val="24"/>
          <w:szCs w:val="24"/>
        </w:rPr>
        <w:t xml:space="preserve"> </w:t>
      </w:r>
      <w:r>
        <w:rPr>
          <w:rFonts w:ascii="宋体" w:hAnsi="宋体" w:cs="宋体" w:hint="eastAsia"/>
          <w:bCs/>
          <w:color w:val="000000"/>
          <w:kern w:val="0"/>
          <w:sz w:val="24"/>
          <w:szCs w:val="24"/>
        </w:rPr>
        <w:t>本实施细则所称“以上”含本数；“低于”不含本数。</w:t>
      </w:r>
    </w:p>
    <w:p w:rsidR="003F1360" w:rsidRDefault="003F1360">
      <w:pPr>
        <w:numPr>
          <w:ilvl w:val="0"/>
          <w:numId w:val="1"/>
        </w:numPr>
        <w:spacing w:line="360" w:lineRule="auto"/>
        <w:ind w:firstLineChars="200" w:firstLine="482"/>
        <w:rPr>
          <w:rFonts w:ascii="宋体" w:hAnsi="宋体" w:cs="宋体" w:hint="eastAsia"/>
          <w:bCs/>
          <w:color w:val="000000"/>
          <w:kern w:val="0"/>
          <w:sz w:val="24"/>
          <w:szCs w:val="24"/>
        </w:rPr>
      </w:pPr>
      <w:r>
        <w:rPr>
          <w:rFonts w:ascii="宋体" w:hAnsi="宋体" w:cs="宋体" w:hint="eastAsia"/>
          <w:b/>
          <w:color w:val="000000"/>
          <w:kern w:val="0"/>
          <w:sz w:val="24"/>
          <w:szCs w:val="24"/>
        </w:rPr>
        <w:t xml:space="preserve"> </w:t>
      </w:r>
      <w:r>
        <w:rPr>
          <w:rFonts w:ascii="宋体" w:hAnsi="宋体" w:cs="宋体" w:hint="eastAsia"/>
          <w:bCs/>
          <w:color w:val="000000"/>
          <w:kern w:val="0"/>
          <w:sz w:val="24"/>
          <w:szCs w:val="24"/>
        </w:rPr>
        <w:t>本实施细则由公司董事会负责解释。</w:t>
      </w:r>
    </w:p>
    <w:p w:rsidR="003F1360" w:rsidRDefault="003F1360">
      <w:pPr>
        <w:numPr>
          <w:ilvl w:val="0"/>
          <w:numId w:val="1"/>
        </w:numPr>
        <w:spacing w:line="360" w:lineRule="auto"/>
        <w:ind w:firstLineChars="200" w:firstLine="480"/>
        <w:rPr>
          <w:rFonts w:ascii="宋体" w:hAnsi="宋体" w:cs="宋体" w:hint="eastAsia"/>
          <w:bCs/>
          <w:color w:val="000000"/>
          <w:kern w:val="0"/>
          <w:sz w:val="24"/>
          <w:szCs w:val="24"/>
        </w:rPr>
      </w:pPr>
      <w:r>
        <w:rPr>
          <w:rFonts w:ascii="宋体" w:hAnsi="宋体" w:cs="宋体" w:hint="eastAsia"/>
          <w:bCs/>
          <w:color w:val="000000"/>
          <w:kern w:val="0"/>
          <w:sz w:val="24"/>
          <w:szCs w:val="24"/>
        </w:rPr>
        <w:t xml:space="preserve"> 本实施细则自公司董事会审议通过之日起生效，原公司于2015年4月22日第三届董事会第四次会议审议通过的《董事会薪酬与考核委员会实施细则》同时废止。</w:t>
      </w:r>
    </w:p>
    <w:sectPr w:rsidR="003F1360" w:rsidSect="00B25D43">
      <w:footerReference w:type="default" r:id="rId12"/>
      <w:pgSz w:w="11906" w:h="16838"/>
      <w:pgMar w:top="1440" w:right="1588"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853" w:rsidRDefault="00B84853">
      <w:r>
        <w:separator/>
      </w:r>
    </w:p>
  </w:endnote>
  <w:endnote w:type="continuationSeparator" w:id="1">
    <w:p w:rsidR="00B84853" w:rsidRDefault="00B84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360" w:rsidRPr="00A9739A" w:rsidRDefault="003F1360">
    <w:pPr>
      <w:pStyle w:val="a5"/>
      <w:jc w:val="center"/>
      <w:rPr>
        <w:rFonts w:ascii="Times New Roman" w:hAnsi="Times New Roman"/>
        <w:sz w:val="21"/>
        <w:szCs w:val="21"/>
      </w:rPr>
    </w:pPr>
    <w:r w:rsidRPr="00A9739A">
      <w:rPr>
        <w:rFonts w:ascii="Times New Roman" w:hAnsi="Times New Roman"/>
        <w:sz w:val="21"/>
        <w:szCs w:val="21"/>
      </w:rPr>
      <w:fldChar w:fldCharType="begin"/>
    </w:r>
    <w:r w:rsidRPr="00A9739A">
      <w:rPr>
        <w:rFonts w:ascii="Times New Roman" w:hAnsi="Times New Roman"/>
        <w:sz w:val="21"/>
        <w:szCs w:val="21"/>
      </w:rPr>
      <w:instrText xml:space="preserve"> PAGE   \* MERGEFORMAT </w:instrText>
    </w:r>
    <w:r w:rsidRPr="00A9739A">
      <w:rPr>
        <w:rFonts w:ascii="Times New Roman" w:hAnsi="Times New Roman"/>
        <w:sz w:val="21"/>
        <w:szCs w:val="21"/>
      </w:rPr>
      <w:fldChar w:fldCharType="separate"/>
    </w:r>
    <w:r w:rsidR="00086044" w:rsidRPr="00086044">
      <w:rPr>
        <w:rFonts w:ascii="Times New Roman" w:hAnsi="Times New Roman"/>
        <w:noProof/>
        <w:sz w:val="21"/>
        <w:szCs w:val="21"/>
        <w:lang w:val="zh-CN" w:eastAsia="zh-CN"/>
      </w:rPr>
      <w:t>4</w:t>
    </w:r>
    <w:r w:rsidRPr="00A9739A">
      <w:rPr>
        <w:rFonts w:ascii="Times New Roman" w:hAnsi="Times New Roman"/>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853" w:rsidRDefault="00B84853">
      <w:r>
        <w:separator/>
      </w:r>
    </w:p>
  </w:footnote>
  <w:footnote w:type="continuationSeparator" w:id="1">
    <w:p w:rsidR="00B84853" w:rsidRDefault="00B848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8123DA"/>
    <w:multiLevelType w:val="singleLevel"/>
    <w:tmpl w:val="7D8123DA"/>
    <w:lvl w:ilvl="0">
      <w:start w:val="17"/>
      <w:numFmt w:val="chineseCounting"/>
      <w:suff w:val="space"/>
      <w:lvlText w:val="第%1条"/>
      <w:lvlJc w:val="left"/>
      <w:rPr>
        <w:rFonts w:hint="eastAsia"/>
        <w:b/>
        <w:bC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U1NTYzMjc4ZDdlMzA2YmM5ZTQ5OTIwOGEyMzU0MDUifQ=="/>
  </w:docVars>
  <w:rsids>
    <w:rsidRoot w:val="00412957"/>
    <w:rsid w:val="00086044"/>
    <w:rsid w:val="000A013C"/>
    <w:rsid w:val="000D3061"/>
    <w:rsid w:val="001D3877"/>
    <w:rsid w:val="002167FE"/>
    <w:rsid w:val="00275413"/>
    <w:rsid w:val="002766DD"/>
    <w:rsid w:val="002A05EC"/>
    <w:rsid w:val="002F5186"/>
    <w:rsid w:val="003514CD"/>
    <w:rsid w:val="003F1360"/>
    <w:rsid w:val="00412957"/>
    <w:rsid w:val="00532E67"/>
    <w:rsid w:val="00537235"/>
    <w:rsid w:val="00607AFA"/>
    <w:rsid w:val="00617F4B"/>
    <w:rsid w:val="006215EC"/>
    <w:rsid w:val="006409EE"/>
    <w:rsid w:val="00651C50"/>
    <w:rsid w:val="006C27A5"/>
    <w:rsid w:val="006E116F"/>
    <w:rsid w:val="00705EBE"/>
    <w:rsid w:val="00710757"/>
    <w:rsid w:val="007C7079"/>
    <w:rsid w:val="007E7F53"/>
    <w:rsid w:val="00904FAC"/>
    <w:rsid w:val="009B4973"/>
    <w:rsid w:val="00A01F2E"/>
    <w:rsid w:val="00A31382"/>
    <w:rsid w:val="00A56295"/>
    <w:rsid w:val="00A9739A"/>
    <w:rsid w:val="00AF19A0"/>
    <w:rsid w:val="00AF1EF2"/>
    <w:rsid w:val="00B144FE"/>
    <w:rsid w:val="00B25D43"/>
    <w:rsid w:val="00B3273B"/>
    <w:rsid w:val="00B84853"/>
    <w:rsid w:val="00BA396B"/>
    <w:rsid w:val="00BE64EA"/>
    <w:rsid w:val="00BE69AB"/>
    <w:rsid w:val="00BF47FA"/>
    <w:rsid w:val="00C20270"/>
    <w:rsid w:val="00C477CD"/>
    <w:rsid w:val="00C65F19"/>
    <w:rsid w:val="00C745D9"/>
    <w:rsid w:val="00CE4AE8"/>
    <w:rsid w:val="00CF44DC"/>
    <w:rsid w:val="00D07996"/>
    <w:rsid w:val="00DB4B0E"/>
    <w:rsid w:val="00DC74D4"/>
    <w:rsid w:val="00E17CB5"/>
    <w:rsid w:val="00E24F8B"/>
    <w:rsid w:val="00EA65A4"/>
    <w:rsid w:val="00EB752F"/>
    <w:rsid w:val="00FD4CB3"/>
    <w:rsid w:val="00FE7BB8"/>
    <w:rsid w:val="0E9E6B9F"/>
    <w:rsid w:val="291A3ED0"/>
    <w:rsid w:val="30B73737"/>
    <w:rsid w:val="31307C3E"/>
    <w:rsid w:val="46473805"/>
    <w:rsid w:val="635B06FD"/>
    <w:rsid w:val="65AD4EAA"/>
    <w:rsid w:val="6EEE4A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Balloon Text"/>
    <w:basedOn w:val="a"/>
    <w:link w:val="Char"/>
    <w:uiPriority w:val="99"/>
    <w:unhideWhenUsed/>
    <w:rPr>
      <w:sz w:val="18"/>
      <w:szCs w:val="18"/>
      <w:lang/>
    </w:rPr>
  </w:style>
  <w:style w:type="character" w:customStyle="1" w:styleId="Char">
    <w:name w:val="批注框文本 Char"/>
    <w:link w:val="a4"/>
    <w:uiPriority w:val="99"/>
    <w:semiHidden/>
    <w:rPr>
      <w:rFonts w:ascii="Times New Roman" w:hAnsi="Times New Roman"/>
      <w:kern w:val="2"/>
      <w:sz w:val="18"/>
      <w:szCs w:val="18"/>
    </w:rPr>
  </w:style>
  <w:style w:type="paragraph" w:styleId="a5">
    <w:name w:val="footer"/>
    <w:basedOn w:val="a"/>
    <w:link w:val="Char0"/>
    <w:uiPriority w:val="99"/>
    <w:unhideWhenUsed/>
    <w:pPr>
      <w:tabs>
        <w:tab w:val="center" w:pos="4153"/>
        <w:tab w:val="right" w:pos="8306"/>
      </w:tabs>
      <w:snapToGrid w:val="0"/>
      <w:jc w:val="left"/>
    </w:pPr>
    <w:rPr>
      <w:rFonts w:ascii="Calibri" w:hAnsi="Calibri"/>
      <w:kern w:val="0"/>
      <w:sz w:val="18"/>
      <w:szCs w:val="18"/>
      <w:lang/>
    </w:rPr>
  </w:style>
  <w:style w:type="character" w:customStyle="1" w:styleId="Char0">
    <w:name w:val="页脚 Char"/>
    <w:link w:val="a5"/>
    <w:uiPriority w:val="99"/>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rFonts w:ascii="Calibri" w:hAnsi="Calibri"/>
      <w:kern w:val="0"/>
      <w:sz w:val="18"/>
      <w:szCs w:val="18"/>
      <w:lang/>
    </w:rPr>
  </w:style>
  <w:style w:type="character" w:customStyle="1" w:styleId="Char1">
    <w:name w:val="页眉 Char"/>
    <w:link w:val="a6"/>
    <w:uiPriority w:val="99"/>
    <w:semiHidden/>
    <w:rPr>
      <w:sz w:val="18"/>
      <w:szCs w:val="18"/>
    </w:rPr>
  </w:style>
  <w:style w:type="paragraph" w:customStyle="1" w:styleId="div">
    <w:name w:val="div"/>
    <w:basedOn w:val="a"/>
    <w:pPr>
      <w:textAlignment w:val="baseline"/>
    </w:pPr>
    <w:rPr>
      <w:sz w:val="24"/>
      <w:szCs w:val="24"/>
    </w:rPr>
  </w:style>
  <w:style w:type="character" w:customStyle="1" w:styleId="fulltext-wrapnavtiao">
    <w:name w:val="fulltext-wrap_navtiao"/>
    <w:rPr>
      <w:b/>
      <w:bCs/>
    </w:rPr>
  </w:style>
</w:styles>
</file>

<file path=word/webSettings.xml><?xml version="1.0" encoding="utf-8"?>
<w:webSettings xmlns:r="http://schemas.openxmlformats.org/officeDocument/2006/relationships" xmlns:w="http://schemas.openxmlformats.org/wordprocessingml/2006/main">
  <w:divs>
    <w:div w:id="80854690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445</Words>
  <Characters>2538</Characters>
  <Application>Microsoft Office Word</Application>
  <DocSecurity>0</DocSecurity>
  <Lines>21</Lines>
  <Paragraphs>5</Paragraphs>
  <ScaleCrop>false</ScaleCrop>
  <Company>微软中国</Company>
  <LinksUpToDate>false</LinksUpToDate>
  <CharactersWithSpaces>2978</CharactersWithSpaces>
  <SharedDoc>false</SharedDoc>
  <HLinks>
    <vt:vector size="30" baseType="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cp:revision>
  <dcterms:created xsi:type="dcterms:W3CDTF">2024-01-16T09:18:00Z</dcterms:created>
  <dcterms:modified xsi:type="dcterms:W3CDTF">2024-01-16T09:18:00Z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AF4F227F0122431796463038D4CEDC9C_12</vt:lpwstr>
  </property>
</Properties>
</file>